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8121015</wp:posOffset>
                </wp:positionV>
                <wp:extent cx="1181100" cy="600075"/>
                <wp:effectExtent l="5080" t="4445" r="1397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65pt;margin-top:639.45pt;height:47.25pt;width:93pt;z-index:251659264;mso-width-relative:page;mso-height-relative:page;" fillcolor="#FFFFFF" filled="t" stroked="t" coordsize="21600,21600" o:gfxdata="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0Y0N2gAAAA0BAAAPAAAAAAAAAAEAIAAAACIAAABkcnMvZG93bnJldi54&#10;bWxQSwECFAAUAAAACACHTuJA6wVPizECAABvBAAADgAAAAAAAAABACAAAAAp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>
      <w:pPr>
        <w:spacing w:before="190" w:beforeLines="50" w:after="381" w:afterLines="100" w:line="700" w:lineRule="exact"/>
        <w:jc w:val="both"/>
        <w:rPr>
          <w:rFonts w:ascii="小标宋" w:hAnsi="楷体" w:eastAsia="小标宋"/>
          <w:sz w:val="44"/>
          <w:szCs w:val="44"/>
        </w:rPr>
      </w:pPr>
      <w:bookmarkStart w:id="0" w:name="_GoBack"/>
      <w:r>
        <w:rPr>
          <w:rFonts w:hint="eastAsia" w:ascii="小标宋" w:hAnsi="楷体" w:eastAsia="小标宋"/>
          <w:sz w:val="40"/>
          <w:szCs w:val="40"/>
        </w:rPr>
        <w:t>第二十四届求是杰出青年成果转化奖</w:t>
      </w:r>
      <w:r>
        <w:rPr>
          <w:rFonts w:hint="eastAsia" w:ascii="小标宋" w:hAnsi="楷体" w:eastAsia="小标宋"/>
          <w:sz w:val="40"/>
          <w:szCs w:val="40"/>
          <w:lang w:val="en-US" w:eastAsia="zh-CN"/>
        </w:rPr>
        <w:t>评价</w:t>
      </w:r>
      <w:r>
        <w:rPr>
          <w:rFonts w:hint="eastAsia" w:ascii="小标宋" w:hAnsi="楷体" w:eastAsia="小标宋"/>
          <w:sz w:val="40"/>
          <w:szCs w:val="40"/>
        </w:rPr>
        <w:t>维度</w:t>
      </w:r>
      <w:bookmarkEnd w:id="0"/>
    </w:p>
    <w:tbl>
      <w:tblPr>
        <w:tblStyle w:val="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6310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评价维度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6" w:beforeLines="20" w:after="76" w:afterLines="20" w:line="400" w:lineRule="exact"/>
              <w:jc w:val="center"/>
              <w:rPr>
                <w:rFonts w:ascii="楷体_GB2312" w:hAnsi="楷体" w:eastAsia="楷体_GB2312" w:cs="宋体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（一）</w:t>
            </w:r>
          </w:p>
          <w:p>
            <w:pPr>
              <w:spacing w:before="76" w:beforeLines="20" w:after="76" w:afterLines="20" w:line="400" w:lineRule="exact"/>
              <w:jc w:val="left"/>
              <w:rPr>
                <w:rFonts w:ascii="楷体" w:hAnsi="楷体" w:eastAsia="楷体" w:cs="宋体"/>
                <w:b/>
                <w:bCs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政治标准与学风道德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1.政治坚定、热爱祖国、拥护党的领导，牢固树立“四个意识”,坚定“四个自信”,坚决做到“两个维护”。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2.遵纪守法，践行社会主义核心价值观。</w:t>
            </w:r>
          </w:p>
          <w:p>
            <w:pPr>
              <w:spacing w:line="400" w:lineRule="exact"/>
              <w:rPr>
                <w:rFonts w:ascii="仿宋_GB2312" w:hAnsi="黑体" w:eastAsia="仿宋_GB2312" w:cs="宋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3.坚持“四个面向”，践行科学家精神，遵守科学伦理和科研规范，学风优良。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前提条件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6" w:beforeLines="20" w:after="76" w:afterLines="20" w:line="400" w:lineRule="exact"/>
              <w:jc w:val="center"/>
              <w:rPr>
                <w:rFonts w:ascii="楷体_GB2312" w:hAnsi="楷体" w:eastAsia="楷体_GB2312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（二）</w:t>
            </w:r>
          </w:p>
          <w:p>
            <w:pPr>
              <w:spacing w:before="76" w:beforeLines="20" w:after="76" w:afterLines="20" w:line="400" w:lineRule="exact"/>
              <w:jc w:val="center"/>
              <w:rPr>
                <w:rFonts w:ascii="楷体" w:hAnsi="楷体" w:eastAsia="楷体" w:cs="宋体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经济价值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1.已取得显著经济效益。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2.成果推广前景好，市场带动力强，商业潜力大，推进产业进步程度高。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6" w:beforeLines="20" w:after="76" w:afterLines="20" w:line="400" w:lineRule="exact"/>
              <w:jc w:val="center"/>
              <w:rPr>
                <w:rFonts w:ascii="楷体_GB2312" w:hAnsi="楷体" w:eastAsia="楷体_GB2312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（三）</w:t>
            </w:r>
          </w:p>
          <w:p>
            <w:pPr>
              <w:spacing w:before="76" w:beforeLines="20" w:after="76" w:afterLines="20" w:line="400" w:lineRule="exact"/>
              <w:jc w:val="center"/>
              <w:rPr>
                <w:rFonts w:ascii="楷体" w:hAnsi="楷体" w:eastAsia="楷体" w:cs="宋体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科技价值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1.成果部分或全部满足创新性、战略性、引领性、突破性的要求。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2.攻克关键核心技术，提高国家科学技术研究能力，抢占事关长远和全局的科技战略制高点，开辟新的产业发展方向和重点领域。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重要标准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6" w:beforeLines="20" w:after="76" w:afterLines="20" w:line="400" w:lineRule="exact"/>
              <w:jc w:val="center"/>
              <w:rPr>
                <w:rFonts w:ascii="楷体_GB2312" w:hAnsi="楷体" w:eastAsia="楷体_GB2312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（四）</w:t>
            </w:r>
          </w:p>
          <w:p>
            <w:pPr>
              <w:spacing w:before="76" w:beforeLines="20" w:after="76" w:afterLines="20" w:line="400" w:lineRule="exact"/>
              <w:jc w:val="center"/>
              <w:rPr>
                <w:rFonts w:ascii="楷体" w:hAnsi="楷体" w:eastAsia="楷体" w:cs="宋体"/>
                <w:szCs w:val="28"/>
              </w:rPr>
            </w:pPr>
            <w:r>
              <w:rPr>
                <w:rFonts w:hint="eastAsia" w:ascii="楷体_GB2312" w:hAnsi="楷体" w:eastAsia="楷体_GB2312"/>
                <w:szCs w:val="28"/>
              </w:rPr>
              <w:t>社会价值和文化价值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1.在保障国家安全、承担国家重大任务、应对重大公共突发事件、保障人民健康、促进乡村振兴、生态环境保护、污染防治、促进社会持续发展中表现突出。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2.在践行科学家精神、营造创新文化、弘扬社会主义核心价值观等方面有积极贡献。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参考标准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450D9"/>
    <w:rsid w:val="04E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2021-12-01T08:59:00Z</dcterms:created>
  <dc:creator>KOALA</dc:creator>
  <cp:lastModifiedBy>KOALA</cp:lastModifiedBy>
  <dcterms:modified xsi:type="dcterms:W3CDTF">2021-12-01T09:00:32Z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6C03E1D29F22482DA57D53B9ADC6CC85</vt:lpwstr>
  </property>
</Properties>
</file>