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1719"/>
        <w:tblW w:w="5397" w:type="pct"/>
        <w:tblCellSpacing w:w="7" w:type="dxa"/>
        <w:tblInd w:w="0" w:type="dxa"/>
        <w:tblLayout w:type="autofit"/>
        <w:tblCellMar>
          <w:top w:w="0" w:type="dxa"/>
          <w:left w:w="0" w:type="dxa"/>
          <w:bottom w:w="0" w:type="dxa"/>
          <w:right w:w="0" w:type="dxa"/>
        </w:tblCellMar>
      </w:tblPr>
      <w:tblGrid>
        <w:gridCol w:w="9086"/>
      </w:tblGrid>
      <w:tr>
        <w:tblPrEx>
          <w:tblCellMar>
            <w:top w:w="0" w:type="dxa"/>
            <w:left w:w="0" w:type="dxa"/>
            <w:bottom w:w="0" w:type="dxa"/>
            <w:right w:w="0" w:type="dxa"/>
          </w:tblCellMar>
        </w:tblPrEx>
        <w:trPr>
          <w:trHeight w:val="510" w:hRule="atLeast"/>
          <w:tblCellSpacing w:w="7" w:type="dxa"/>
        </w:trPr>
        <w:tc>
          <w:tcPr>
            <w:tcW w:w="4985" w:type="pct"/>
            <w:vAlign w:val="center"/>
          </w:tcPr>
          <w:p>
            <w:pPr>
              <w:autoSpaceDE w:val="0"/>
              <w:autoSpaceDN w:val="0"/>
              <w:adjustRightInd w:val="0"/>
              <w:snapToGrid w:val="0"/>
              <w:spacing w:line="360" w:lineRule="auto"/>
              <w:ind w:right="-20"/>
              <w:jc w:val="left"/>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附件1：</w:t>
            </w:r>
          </w:p>
        </w:tc>
      </w:tr>
      <w:tr>
        <w:tblPrEx>
          <w:tblCellMar>
            <w:top w:w="0" w:type="dxa"/>
            <w:left w:w="0" w:type="dxa"/>
            <w:bottom w:w="0" w:type="dxa"/>
            <w:right w:w="0" w:type="dxa"/>
          </w:tblCellMar>
        </w:tblPrEx>
        <w:trPr>
          <w:trHeight w:val="680" w:hRule="atLeast"/>
          <w:tblCellSpacing w:w="7" w:type="dxa"/>
        </w:trPr>
        <w:tc>
          <w:tcPr>
            <w:tcW w:w="4985" w:type="pct"/>
            <w:vAlign w:val="center"/>
          </w:tcPr>
          <w:p>
            <w:pPr>
              <w:autoSpaceDE w:val="0"/>
              <w:autoSpaceDN w:val="0"/>
              <w:adjustRightInd w:val="0"/>
              <w:snapToGrid w:val="0"/>
              <w:spacing w:line="360" w:lineRule="auto"/>
              <w:ind w:right="-20"/>
              <w:jc w:val="center"/>
              <w:rPr>
                <w:rFonts w:hint="default" w:ascii="Times New Roman" w:hAnsi="Times New Roman" w:cs="Times New Roman"/>
                <w:b/>
                <w:color w:val="000000" w:themeColor="text1"/>
                <w:spacing w:val="1"/>
                <w:kern w:val="0"/>
                <w:position w:val="-2"/>
                <w:sz w:val="32"/>
                <w:szCs w:val="32"/>
              </w:rPr>
            </w:pPr>
            <w:r>
              <w:rPr>
                <w:rFonts w:hint="default" w:ascii="Times New Roman" w:hAnsi="Times New Roman" w:cs="Times New Roman"/>
                <w:color w:val="000000" w:themeColor="text1"/>
              </w:rPr>
              <w:br w:type="page"/>
            </w:r>
            <w:r>
              <w:rPr>
                <w:rFonts w:hint="default" w:ascii="Times New Roman" w:hAnsi="Times New Roman" w:cs="Times New Roman"/>
                <w:b/>
                <w:color w:val="000000" w:themeColor="text1"/>
                <w:spacing w:val="1"/>
                <w:kern w:val="0"/>
                <w:position w:val="-2"/>
                <w:sz w:val="32"/>
                <w:szCs w:val="32"/>
              </w:rPr>
              <w:t>纺织行业重点实验室管理办法</w:t>
            </w:r>
          </w:p>
          <w:p>
            <w:pPr>
              <w:tabs>
                <w:tab w:val="left" w:pos="0"/>
                <w:tab w:val="left" w:pos="11200"/>
              </w:tabs>
              <w:autoSpaceDE w:val="0"/>
              <w:autoSpaceDN w:val="0"/>
              <w:adjustRightInd w:val="0"/>
              <w:snapToGrid w:val="0"/>
              <w:spacing w:line="360" w:lineRule="auto"/>
              <w:jc w:val="center"/>
              <w:rPr>
                <w:rFonts w:hint="default" w:ascii="Times New Roman" w:hAnsi="Times New Roman" w:cs="Times New Roman"/>
                <w:bCs/>
                <w:snapToGrid w:val="0"/>
                <w:color w:val="000000" w:themeColor="text1"/>
                <w:kern w:val="0"/>
                <w:sz w:val="28"/>
                <w:szCs w:val="28"/>
              </w:rPr>
            </w:pPr>
            <w:r>
              <w:rPr>
                <w:rFonts w:hint="default" w:ascii="Times New Roman" w:hAnsi="Times New Roman" w:cs="Times New Roman"/>
                <w:bCs/>
                <w:snapToGrid w:val="0"/>
                <w:color w:val="000000" w:themeColor="text1"/>
                <w:kern w:val="0"/>
                <w:sz w:val="28"/>
                <w:szCs w:val="28"/>
              </w:rPr>
              <w:t>（二</w:t>
            </w:r>
            <w:r>
              <w:rPr>
                <w:rFonts w:hint="default" w:ascii="Times New Roman" w:hAnsi="Times New Roman" w:cs="Times New Roman"/>
                <w:bCs/>
                <w:snapToGrid w:val="0"/>
                <w:color w:val="000000" w:themeColor="text1"/>
                <w:kern w:val="0"/>
                <w:sz w:val="28"/>
                <w:szCs w:val="28"/>
                <w:lang w:eastAsia="zh-CN"/>
              </w:rPr>
              <w:t>〇</w:t>
            </w:r>
            <w:r>
              <w:rPr>
                <w:rFonts w:hint="default" w:ascii="Times New Roman" w:hAnsi="Times New Roman" w:cs="Times New Roman"/>
                <w:bCs/>
                <w:snapToGrid w:val="0"/>
                <w:color w:val="000000" w:themeColor="text1"/>
                <w:kern w:val="0"/>
                <w:sz w:val="28"/>
                <w:szCs w:val="28"/>
              </w:rPr>
              <w:t>二</w:t>
            </w:r>
            <w:r>
              <w:rPr>
                <w:rFonts w:hint="default" w:ascii="Times New Roman" w:hAnsi="Times New Roman" w:cs="Times New Roman"/>
                <w:bCs/>
                <w:snapToGrid w:val="0"/>
                <w:color w:val="000000" w:themeColor="text1"/>
                <w:kern w:val="0"/>
                <w:sz w:val="28"/>
                <w:szCs w:val="28"/>
                <w:lang w:eastAsia="zh-CN"/>
              </w:rPr>
              <w:t>一</w:t>
            </w:r>
            <w:r>
              <w:rPr>
                <w:rFonts w:hint="default" w:ascii="Times New Roman" w:hAnsi="Times New Roman" w:cs="Times New Roman"/>
                <w:bCs/>
                <w:snapToGrid w:val="0"/>
                <w:color w:val="000000" w:themeColor="text1"/>
                <w:kern w:val="0"/>
                <w:sz w:val="28"/>
                <w:szCs w:val="28"/>
              </w:rPr>
              <w:t>年）</w:t>
            </w:r>
          </w:p>
          <w:p>
            <w:pPr>
              <w:tabs>
                <w:tab w:val="left" w:pos="0"/>
                <w:tab w:val="left" w:pos="11200"/>
              </w:tabs>
              <w:autoSpaceDE w:val="0"/>
              <w:autoSpaceDN w:val="0"/>
              <w:adjustRightInd w:val="0"/>
              <w:snapToGrid w:val="0"/>
              <w:spacing w:line="360" w:lineRule="auto"/>
              <w:jc w:val="center"/>
              <w:rPr>
                <w:rFonts w:hint="default" w:ascii="Times New Roman" w:hAnsi="Times New Roman" w:eastAsia="仿宋" w:cs="Times New Roman"/>
                <w:b/>
                <w:snapToGrid w:val="0"/>
                <w:color w:val="000000" w:themeColor="text1"/>
                <w:kern w:val="0"/>
                <w:sz w:val="28"/>
                <w:szCs w:val="28"/>
              </w:rPr>
            </w:pPr>
          </w:p>
          <w:p>
            <w:pPr>
              <w:tabs>
                <w:tab w:val="left" w:pos="0"/>
                <w:tab w:val="left" w:pos="11200"/>
              </w:tabs>
              <w:autoSpaceDE w:val="0"/>
              <w:autoSpaceDN w:val="0"/>
              <w:adjustRightInd w:val="0"/>
              <w:snapToGrid w:val="0"/>
              <w:spacing w:line="360" w:lineRule="auto"/>
              <w:jc w:val="center"/>
              <w:rPr>
                <w:rFonts w:hint="default" w:ascii="Times New Roman" w:hAnsi="Times New Roman" w:eastAsia="仿宋" w:cs="Times New Roman"/>
                <w:b/>
                <w:snapToGrid w:val="0"/>
                <w:color w:val="000000" w:themeColor="text1"/>
                <w:kern w:val="0"/>
                <w:sz w:val="28"/>
                <w:szCs w:val="28"/>
              </w:rPr>
            </w:pPr>
            <w:r>
              <w:rPr>
                <w:rFonts w:hint="default" w:ascii="Times New Roman" w:hAnsi="Times New Roman" w:eastAsia="仿宋" w:cs="Times New Roman"/>
                <w:b/>
                <w:snapToGrid w:val="0"/>
                <w:color w:val="000000" w:themeColor="text1"/>
                <w:kern w:val="0"/>
                <w:sz w:val="28"/>
                <w:szCs w:val="28"/>
              </w:rPr>
              <w:t>第一章  总  则</w:t>
            </w:r>
          </w:p>
          <w:p>
            <w:pPr>
              <w:tabs>
                <w:tab w:val="left" w:pos="9781"/>
              </w:tabs>
              <w:autoSpaceDE w:val="0"/>
              <w:autoSpaceDN w:val="0"/>
              <w:adjustRightInd w:val="0"/>
              <w:snapToGrid w:val="0"/>
              <w:spacing w:line="360" w:lineRule="auto"/>
              <w:ind w:left="1"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第一条 为深入贯彻实施国家创新驱动发展战略，进一步完善纺织技术创新体系，推动纺织行业技术进步，规范和加强纺织行业重点实验室建设与管理，特制定本办法。</w:t>
            </w:r>
          </w:p>
          <w:p>
            <w:pPr>
              <w:autoSpaceDE w:val="0"/>
              <w:autoSpaceDN w:val="0"/>
              <w:adjustRightInd w:val="0"/>
              <w:snapToGrid w:val="0"/>
              <w:spacing w:line="360" w:lineRule="auto"/>
              <w:ind w:right="79"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bCs/>
                <w:snapToGrid w:val="0"/>
                <w:color w:val="000000" w:themeColor="text1"/>
                <w:kern w:val="0"/>
                <w:sz w:val="28"/>
                <w:szCs w:val="28"/>
              </w:rPr>
              <w:t>第二条</w:t>
            </w:r>
            <w:r>
              <w:rPr>
                <w:rFonts w:hint="default" w:ascii="Times New Roman" w:hAnsi="Times New Roman" w:eastAsia="仿宋" w:cs="Times New Roman"/>
                <w:snapToGrid w:val="0"/>
                <w:color w:val="000000" w:themeColor="text1"/>
                <w:kern w:val="0"/>
                <w:sz w:val="28"/>
                <w:szCs w:val="28"/>
              </w:rPr>
              <w:t xml:space="preserve"> 纺织行业重点实验室（以下简称重点实验室）是纺织行业技术创新体系的重要组成部分，是开展高水平科学研究、聚集和培养优秀科技人才、进行高层次学术交流和促进科技成果转化的重要基地。</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bCs/>
                <w:snapToGrid w:val="0"/>
                <w:color w:val="000000" w:themeColor="text1"/>
                <w:kern w:val="0"/>
                <w:sz w:val="28"/>
                <w:szCs w:val="28"/>
              </w:rPr>
              <w:t>第三条</w:t>
            </w:r>
            <w:r>
              <w:rPr>
                <w:rFonts w:hint="default" w:ascii="Times New Roman" w:hAnsi="Times New Roman" w:eastAsia="仿宋" w:cs="Times New Roman"/>
                <w:snapToGrid w:val="0"/>
                <w:color w:val="000000" w:themeColor="text1"/>
                <w:kern w:val="0"/>
                <w:sz w:val="28"/>
                <w:szCs w:val="28"/>
              </w:rPr>
              <w:t xml:space="preserve"> 重点实验室的主要任务是围绕纺织行业重大工程建设和科技发展战略目标，开展应用基础、重大关键技术、前瞻性技术以及相关公益性技术研究，解决纺织行业发展中的技术难题，为提高纺织行业创新能力、行业科技可持续发展能力提供支撑。</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bCs/>
                <w:snapToGrid w:val="0"/>
                <w:color w:val="000000" w:themeColor="text1"/>
                <w:kern w:val="0"/>
                <w:sz w:val="28"/>
                <w:szCs w:val="28"/>
              </w:rPr>
              <w:t>第四条</w:t>
            </w:r>
            <w:r>
              <w:rPr>
                <w:rFonts w:hint="default" w:ascii="Times New Roman" w:hAnsi="Times New Roman" w:eastAsia="仿宋" w:cs="Times New Roman"/>
                <w:snapToGrid w:val="0"/>
                <w:color w:val="000000" w:themeColor="text1"/>
                <w:kern w:val="0"/>
                <w:sz w:val="28"/>
                <w:szCs w:val="28"/>
              </w:rPr>
              <w:t xml:space="preserve"> 重点实验室主要依托具有行业优势的高等院校、科研院所或有条件的企业进行建设与管理。</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     </w:t>
            </w:r>
          </w:p>
          <w:p>
            <w:pPr>
              <w:widowControl/>
              <w:snapToGrid w:val="0"/>
              <w:spacing w:line="360" w:lineRule="auto"/>
              <w:jc w:val="center"/>
              <w:rPr>
                <w:rFonts w:hint="default" w:ascii="Times New Roman" w:hAnsi="Times New Roman" w:eastAsia="仿宋" w:cs="Times New Roman"/>
                <w:b/>
                <w:snapToGrid w:val="0"/>
                <w:color w:val="000000" w:themeColor="text1"/>
                <w:kern w:val="0"/>
                <w:sz w:val="28"/>
                <w:szCs w:val="28"/>
              </w:rPr>
            </w:pPr>
            <w:r>
              <w:rPr>
                <w:rFonts w:hint="default" w:ascii="Times New Roman" w:hAnsi="Times New Roman" w:eastAsia="宋体" w:cs="Times New Roman"/>
                <w:b/>
                <w:bCs/>
                <w:color w:val="000000" w:themeColor="text1"/>
                <w:kern w:val="0"/>
                <w:sz w:val="23"/>
                <w:szCs w:val="23"/>
              </w:rPr>
              <w:t xml:space="preserve"> </w:t>
            </w:r>
            <w:r>
              <w:rPr>
                <w:rFonts w:hint="default" w:ascii="Times New Roman" w:hAnsi="Times New Roman" w:eastAsia="仿宋" w:cs="Times New Roman"/>
                <w:b/>
                <w:snapToGrid w:val="0"/>
                <w:color w:val="000000" w:themeColor="text1"/>
                <w:kern w:val="0"/>
                <w:sz w:val="28"/>
                <w:szCs w:val="28"/>
              </w:rPr>
              <w:t>第二章  职  责</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第五条  中国纺织工业联合会（以下简称</w:t>
            </w:r>
            <w:r>
              <w:rPr>
                <w:rFonts w:hint="default" w:ascii="Times New Roman" w:hAnsi="Times New Roman" w:eastAsia="仿宋" w:cs="Times New Roman"/>
                <w:snapToGrid w:val="0"/>
                <w:color w:val="000000" w:themeColor="text1"/>
                <w:kern w:val="0"/>
                <w:sz w:val="28"/>
                <w:szCs w:val="28"/>
                <w:lang w:eastAsia="zh-CN"/>
              </w:rPr>
              <w:t>中国纺联</w:t>
            </w:r>
            <w:r>
              <w:rPr>
                <w:rFonts w:hint="default" w:ascii="Times New Roman" w:hAnsi="Times New Roman" w:eastAsia="仿宋" w:cs="Times New Roman"/>
                <w:snapToGrid w:val="0"/>
                <w:color w:val="000000" w:themeColor="text1"/>
                <w:kern w:val="0"/>
                <w:sz w:val="28"/>
                <w:szCs w:val="28"/>
              </w:rPr>
              <w:t>）是重点实验室的管理单位，纺织行业重点实验室管理办公室设在中国纺织工业联合会科技发展部。主要职责是：</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（一）制定纺织行业重点实验室发展规划；</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（二）开展纺织行业重点实验室的认定和评估等管理工作。</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第六条  依托单位是重点实验室建设和运行管理的具体负责单位，主要职责是：</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（一）确定重点实验室的发展目标、任务和研究重点，指导重点实验室的建设与管理；</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（二）聘任重点实验室主任，组建重点实验室学术委员会；</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（三）为重点实验室提供相应的条件保障以及运行经费等条件，解决实验室建设与运行中的有关问题；</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（四）对重点实验室进行年度考核，做好对重点实验室的跟踪评估等工作。</w:t>
            </w:r>
          </w:p>
          <w:p>
            <w:pPr>
              <w:widowControl/>
              <w:snapToGrid w:val="0"/>
              <w:spacing w:line="360" w:lineRule="auto"/>
              <w:ind w:firstLine="596" w:firstLineChars="213"/>
              <w:rPr>
                <w:rFonts w:hint="default" w:ascii="Times New Roman" w:hAnsi="Times New Roman" w:eastAsia="仿宋" w:cs="Times New Roman"/>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第七条  </w:t>
            </w:r>
            <w:r>
              <w:rPr>
                <w:rFonts w:hint="default" w:ascii="Times New Roman" w:hAnsi="Times New Roman" w:eastAsia="仿宋" w:cs="Times New Roman"/>
                <w:snapToGrid w:val="0"/>
                <w:color w:val="000000" w:themeColor="text1"/>
                <w:kern w:val="0"/>
                <w:sz w:val="28"/>
                <w:szCs w:val="28"/>
                <w:lang w:eastAsia="zh-CN"/>
              </w:rPr>
              <w:t>中国纺联</w:t>
            </w:r>
            <w:r>
              <w:rPr>
                <w:rFonts w:hint="default" w:ascii="Times New Roman" w:hAnsi="Times New Roman" w:eastAsia="仿宋" w:cs="Times New Roman"/>
                <w:snapToGrid w:val="0"/>
                <w:color w:val="000000" w:themeColor="text1"/>
                <w:kern w:val="0"/>
                <w:sz w:val="28"/>
                <w:szCs w:val="28"/>
              </w:rPr>
              <w:t xml:space="preserve">科技发展部将对重点实验室申报国家科技计划项目进行指导服务并优先推荐，对其申请科技计划、成果鉴定、标准制修订、纺织科技奖项提供指导和服务。  </w:t>
            </w:r>
          </w:p>
          <w:p>
            <w:pPr>
              <w:widowControl/>
              <w:snapToGrid w:val="0"/>
              <w:spacing w:line="360" w:lineRule="auto"/>
              <w:ind w:firstLine="596" w:firstLineChars="213"/>
              <w:rPr>
                <w:rFonts w:hint="default" w:ascii="Times New Roman" w:hAnsi="Times New Roman" w:eastAsia="仿宋" w:cs="Times New Roman"/>
                <w:color w:val="000000" w:themeColor="text1"/>
                <w:kern w:val="0"/>
                <w:sz w:val="28"/>
                <w:szCs w:val="28"/>
              </w:rPr>
            </w:pPr>
          </w:p>
          <w:p>
            <w:pPr>
              <w:widowControl/>
              <w:snapToGrid w:val="0"/>
              <w:spacing w:line="360" w:lineRule="auto"/>
              <w:jc w:val="center"/>
              <w:rPr>
                <w:rFonts w:hint="default" w:ascii="Times New Roman" w:hAnsi="Times New Roman" w:eastAsia="仿宋" w:cs="Times New Roman"/>
                <w:b/>
                <w:snapToGrid w:val="0"/>
                <w:color w:val="000000" w:themeColor="text1"/>
                <w:kern w:val="0"/>
                <w:sz w:val="28"/>
                <w:szCs w:val="28"/>
              </w:rPr>
            </w:pPr>
            <w:r>
              <w:rPr>
                <w:rFonts w:hint="default" w:ascii="Times New Roman" w:hAnsi="Times New Roman" w:eastAsia="仿宋" w:cs="Times New Roman"/>
                <w:b/>
                <w:snapToGrid w:val="0"/>
                <w:color w:val="000000" w:themeColor="text1"/>
                <w:kern w:val="0"/>
                <w:sz w:val="28"/>
                <w:szCs w:val="28"/>
              </w:rPr>
              <w:t xml:space="preserve">第三章  </w:t>
            </w:r>
            <w:r>
              <w:rPr>
                <w:rFonts w:hint="default" w:ascii="Times New Roman" w:hAnsi="Times New Roman" w:eastAsia="仿宋" w:cs="Times New Roman"/>
                <w:b/>
                <w:snapToGrid w:val="0"/>
                <w:color w:val="000000" w:themeColor="text1"/>
                <w:kern w:val="0"/>
                <w:sz w:val="28"/>
                <w:szCs w:val="28"/>
              </w:rPr>
              <w:tab/>
            </w:r>
            <w:r>
              <w:rPr>
                <w:rFonts w:hint="default" w:ascii="Times New Roman" w:hAnsi="Times New Roman" w:eastAsia="仿宋" w:cs="Times New Roman"/>
                <w:b/>
                <w:bCs/>
                <w:snapToGrid w:val="0"/>
                <w:color w:val="000000" w:themeColor="text1"/>
                <w:kern w:val="0"/>
                <w:sz w:val="28"/>
                <w:szCs w:val="28"/>
              </w:rPr>
              <w:t>申  请</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bookmarkStart w:id="0" w:name="_Hlk42269045"/>
            <w:r>
              <w:rPr>
                <w:rFonts w:hint="default" w:ascii="Times New Roman" w:hAnsi="Times New Roman" w:eastAsia="仿宋" w:cs="Times New Roman"/>
                <w:snapToGrid w:val="0"/>
                <w:color w:val="000000" w:themeColor="text1"/>
                <w:kern w:val="0"/>
                <w:sz w:val="28"/>
                <w:szCs w:val="28"/>
              </w:rPr>
              <w:t>第</w:t>
            </w:r>
            <w:r>
              <w:rPr>
                <w:rFonts w:hint="eastAsia" w:ascii="Times New Roman" w:hAnsi="Times New Roman" w:eastAsia="仿宋" w:cs="Times New Roman"/>
                <w:snapToGrid w:val="0"/>
                <w:color w:val="000000" w:themeColor="text1"/>
                <w:kern w:val="0"/>
                <w:sz w:val="28"/>
                <w:szCs w:val="28"/>
                <w:lang w:eastAsia="zh-CN"/>
              </w:rPr>
              <w:t>八</w:t>
            </w:r>
            <w:r>
              <w:rPr>
                <w:rFonts w:hint="default" w:ascii="Times New Roman" w:hAnsi="Times New Roman" w:eastAsia="仿宋" w:cs="Times New Roman"/>
                <w:snapToGrid w:val="0"/>
                <w:color w:val="000000" w:themeColor="text1"/>
                <w:kern w:val="0"/>
                <w:sz w:val="28"/>
                <w:szCs w:val="28"/>
              </w:rPr>
              <w:t>条 具备重点实验室基本条件的依托单位可提出认定申请，直接向</w:t>
            </w:r>
            <w:r>
              <w:rPr>
                <w:rFonts w:hint="default" w:ascii="Times New Roman" w:hAnsi="Times New Roman" w:eastAsia="仿宋" w:cs="Times New Roman"/>
                <w:snapToGrid w:val="0"/>
                <w:color w:val="000000" w:themeColor="text1"/>
                <w:kern w:val="0"/>
                <w:sz w:val="28"/>
                <w:szCs w:val="28"/>
                <w:lang w:eastAsia="zh-CN"/>
              </w:rPr>
              <w:t>中国纺联</w:t>
            </w:r>
            <w:r>
              <w:rPr>
                <w:rFonts w:hint="default" w:ascii="Times New Roman" w:hAnsi="Times New Roman" w:eastAsia="仿宋" w:cs="Times New Roman"/>
                <w:snapToGrid w:val="0"/>
                <w:color w:val="000000" w:themeColor="text1"/>
                <w:kern w:val="0"/>
                <w:sz w:val="28"/>
                <w:szCs w:val="28"/>
              </w:rPr>
              <w:t>科技发展部提交《纺织行业重点实验室申报书》，《申报书》在中国纺织科技网（</w:t>
            </w:r>
            <w:r>
              <w:rPr>
                <w:rFonts w:hint="default" w:ascii="Times New Roman" w:hAnsi="Times New Roman" w:eastAsia="仿宋" w:cs="Times New Roman"/>
                <w:snapToGrid w:val="0"/>
                <w:color w:val="000000" w:themeColor="text1"/>
                <w:kern w:val="0"/>
                <w:sz w:val="28"/>
                <w:szCs w:val="28"/>
              </w:rPr>
              <w:fldChar w:fldCharType="begin"/>
            </w:r>
            <w:r>
              <w:rPr>
                <w:rFonts w:hint="default" w:ascii="Times New Roman" w:hAnsi="Times New Roman" w:eastAsia="仿宋" w:cs="Times New Roman"/>
                <w:snapToGrid w:val="0"/>
                <w:color w:val="000000" w:themeColor="text1"/>
                <w:kern w:val="0"/>
                <w:sz w:val="28"/>
                <w:szCs w:val="28"/>
              </w:rPr>
              <w:instrText xml:space="preserve"> HYPERLINK "http://www.cntextech.org.cn" </w:instrText>
            </w:r>
            <w:r>
              <w:rPr>
                <w:rFonts w:hint="default" w:ascii="Times New Roman" w:hAnsi="Times New Roman" w:eastAsia="仿宋" w:cs="Times New Roman"/>
                <w:snapToGrid w:val="0"/>
                <w:color w:val="000000" w:themeColor="text1"/>
                <w:kern w:val="0"/>
                <w:sz w:val="28"/>
                <w:szCs w:val="28"/>
              </w:rPr>
              <w:fldChar w:fldCharType="separate"/>
            </w:r>
            <w:r>
              <w:rPr>
                <w:rFonts w:hint="default" w:ascii="Times New Roman" w:hAnsi="Times New Roman" w:eastAsia="仿宋" w:cs="Times New Roman"/>
                <w:snapToGrid w:val="0"/>
                <w:color w:val="000000" w:themeColor="text1"/>
                <w:kern w:val="0"/>
                <w:sz w:val="28"/>
                <w:szCs w:val="28"/>
              </w:rPr>
              <w:t>www.cntextech.org.cn</w:t>
            </w:r>
            <w:r>
              <w:rPr>
                <w:rFonts w:hint="default" w:ascii="Times New Roman" w:hAnsi="Times New Roman" w:eastAsia="仿宋" w:cs="Times New Roman"/>
                <w:snapToGrid w:val="0"/>
                <w:color w:val="000000" w:themeColor="text1"/>
                <w:kern w:val="0"/>
                <w:sz w:val="28"/>
                <w:szCs w:val="28"/>
              </w:rPr>
              <w:fldChar w:fldCharType="end"/>
            </w:r>
            <w:r>
              <w:rPr>
                <w:rFonts w:hint="default" w:ascii="Times New Roman" w:hAnsi="Times New Roman" w:eastAsia="仿宋" w:cs="Times New Roman"/>
                <w:snapToGrid w:val="0"/>
                <w:color w:val="000000" w:themeColor="text1"/>
                <w:kern w:val="0"/>
                <w:sz w:val="28"/>
                <w:szCs w:val="28"/>
              </w:rPr>
              <w:t>）下载。一个依托单位可以申请不同方向的多个重点实验室。</w:t>
            </w:r>
          </w:p>
          <w:bookmarkEnd w:id="0"/>
          <w:p>
            <w:pPr>
              <w:widowControl/>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w:t>
            </w:r>
            <w:r>
              <w:rPr>
                <w:rFonts w:hint="eastAsia" w:ascii="Times New Roman" w:hAnsi="Times New Roman" w:eastAsia="仿宋" w:cs="Times New Roman"/>
                <w:snapToGrid w:val="0"/>
                <w:color w:val="000000" w:themeColor="text1"/>
                <w:kern w:val="0"/>
                <w:sz w:val="28"/>
                <w:szCs w:val="28"/>
                <w:lang w:eastAsia="zh-CN"/>
              </w:rPr>
              <w:t>九</w:t>
            </w:r>
            <w:r>
              <w:rPr>
                <w:rFonts w:hint="default" w:ascii="Times New Roman" w:hAnsi="Times New Roman" w:eastAsia="仿宋" w:cs="Times New Roman"/>
                <w:snapToGrid w:val="0"/>
                <w:color w:val="000000" w:themeColor="text1"/>
                <w:kern w:val="0"/>
                <w:sz w:val="28"/>
                <w:szCs w:val="28"/>
              </w:rPr>
              <w:t>条 申请重点实验室须具备以下基本条件：</w:t>
            </w:r>
          </w:p>
          <w:p>
            <w:pPr>
              <w:widowControl/>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（一）依托单位在中华人民共和国境内注册，具有独立法人资格。其中企业应为在国内建有生产、科研基地的国有、民营和股份制等各种所有制的纺织类企业；</w:t>
            </w:r>
          </w:p>
          <w:p>
            <w:pPr>
              <w:autoSpaceDE w:val="0"/>
              <w:autoSpaceDN w:val="0"/>
              <w:adjustRightInd w:val="0"/>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（二）有明确的研究方向和建设发展规划，研究方向符合纺织产业技术发展战略目标； </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（三）具备良好的实验场所，有比较充足的科研经费，拥有国内先进水平的科学研究试验设备、仪器装备及配套设施等；</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（四）拥有学术水平高、创新能力强，在本研究领域有一定知名度的学术带头人；有一支科研能力强、年龄与知识结构较为合理的研究队伍； </w:t>
            </w:r>
          </w:p>
          <w:p>
            <w:pPr>
              <w:autoSpaceDE w:val="0"/>
              <w:autoSpaceDN w:val="0"/>
              <w:adjustRightInd w:val="0"/>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（五）学术水平和科研能力在国内或行业内领先，取得过高水平的科研成果。高校类的依托单位应有与重点实验室研究方向相关的硕士或博士学位点；</w:t>
            </w:r>
          </w:p>
          <w:p>
            <w:pPr>
              <w:autoSpaceDE w:val="0"/>
              <w:autoSpaceDN w:val="0"/>
              <w:adjustRightInd w:val="0"/>
              <w:snapToGrid w:val="0"/>
              <w:spacing w:line="360" w:lineRule="auto"/>
              <w:ind w:firstLine="560" w:firstLineChars="200"/>
              <w:rPr>
                <w:rFonts w:hint="default" w:ascii="Times New Roman" w:hAnsi="Times New Roman" w:eastAsia="微软雅黑" w:cs="Times New Roman"/>
                <w:color w:val="000000" w:themeColor="text1"/>
                <w:kern w:val="0"/>
                <w:sz w:val="24"/>
                <w:szCs w:val="24"/>
              </w:rPr>
            </w:pPr>
            <w:r>
              <w:rPr>
                <w:rFonts w:hint="default" w:ascii="Times New Roman" w:hAnsi="Times New Roman" w:eastAsia="仿宋" w:cs="Times New Roman"/>
                <w:snapToGrid w:val="0"/>
                <w:color w:val="000000" w:themeColor="text1"/>
                <w:kern w:val="0"/>
                <w:sz w:val="28"/>
                <w:szCs w:val="28"/>
              </w:rPr>
              <w:t xml:space="preserve">（六）依托单位能为重点实验室提供必要的后勤保障和运行经费，并对其科研成果有较强的转化及应用推广能力。   </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  </w:t>
            </w:r>
          </w:p>
          <w:p>
            <w:pPr>
              <w:snapToGrid w:val="0"/>
              <w:spacing w:line="360" w:lineRule="auto"/>
              <w:jc w:val="center"/>
              <w:rPr>
                <w:rFonts w:hint="default" w:ascii="Times New Roman" w:hAnsi="Times New Roman" w:eastAsia="仿宋" w:cs="Times New Roman"/>
                <w:b/>
                <w:snapToGrid w:val="0"/>
                <w:color w:val="000000" w:themeColor="text1"/>
                <w:kern w:val="0"/>
                <w:sz w:val="28"/>
                <w:szCs w:val="28"/>
              </w:rPr>
            </w:pPr>
            <w:bookmarkStart w:id="1" w:name="_Hlk510966048"/>
            <w:r>
              <w:rPr>
                <w:rFonts w:hint="default" w:ascii="Times New Roman" w:hAnsi="Times New Roman" w:eastAsia="仿宋" w:cs="Times New Roman"/>
                <w:b/>
                <w:snapToGrid w:val="0"/>
                <w:color w:val="000000" w:themeColor="text1"/>
                <w:kern w:val="0"/>
                <w:sz w:val="28"/>
                <w:szCs w:val="28"/>
              </w:rPr>
              <w:t>第四章 认定和授牌</w:t>
            </w:r>
          </w:p>
          <w:p>
            <w:pPr>
              <w:autoSpaceDE w:val="0"/>
              <w:autoSpaceDN w:val="0"/>
              <w:adjustRightInd w:val="0"/>
              <w:snapToGrid w:val="0"/>
              <w:spacing w:line="360" w:lineRule="auto"/>
              <w:ind w:right="86" w:firstLine="560" w:firstLineChars="200"/>
              <w:rPr>
                <w:rFonts w:hint="default" w:ascii="Times New Roman" w:hAnsi="Times New Roman" w:eastAsia="仿宋" w:cs="Times New Roman"/>
                <w:bCs/>
                <w:color w:val="000000" w:themeColor="text1"/>
                <w:spacing w:val="5"/>
                <w:kern w:val="0"/>
                <w:sz w:val="28"/>
                <w:szCs w:val="28"/>
              </w:rPr>
            </w:pPr>
            <w:r>
              <w:rPr>
                <w:rFonts w:hint="default" w:ascii="Times New Roman" w:hAnsi="Times New Roman" w:eastAsia="仿宋" w:cs="Times New Roman"/>
                <w:snapToGrid w:val="0"/>
                <w:color w:val="000000" w:themeColor="text1"/>
                <w:kern w:val="0"/>
                <w:sz w:val="28"/>
                <w:szCs w:val="28"/>
              </w:rPr>
              <w:t xml:space="preserve">第十条 </w:t>
            </w:r>
            <w:r>
              <w:rPr>
                <w:rFonts w:hint="default" w:ascii="Times New Roman" w:hAnsi="Times New Roman" w:eastAsia="仿宋" w:cs="Times New Roman"/>
                <w:bCs/>
                <w:color w:val="000000" w:themeColor="text1"/>
                <w:spacing w:val="5"/>
                <w:kern w:val="0"/>
                <w:sz w:val="28"/>
                <w:szCs w:val="28"/>
                <w:lang w:eastAsia="zh-CN"/>
              </w:rPr>
              <w:t>中国纺联</w:t>
            </w:r>
            <w:r>
              <w:rPr>
                <w:rFonts w:hint="default" w:ascii="Times New Roman" w:hAnsi="Times New Roman" w:eastAsia="仿宋" w:cs="Times New Roman"/>
                <w:bCs/>
                <w:color w:val="000000" w:themeColor="text1"/>
                <w:spacing w:val="5"/>
                <w:kern w:val="0"/>
                <w:sz w:val="28"/>
                <w:szCs w:val="28"/>
              </w:rPr>
              <w:t>组织专家</w:t>
            </w:r>
            <w:r>
              <w:rPr>
                <w:rFonts w:hint="default" w:ascii="Times New Roman" w:hAnsi="Times New Roman" w:eastAsia="仿宋" w:cs="Times New Roman"/>
                <w:bCs/>
                <w:color w:val="000000" w:themeColor="text1"/>
                <w:sz w:val="28"/>
                <w:szCs w:val="28"/>
              </w:rPr>
              <w:t>进行评审，</w:t>
            </w:r>
            <w:r>
              <w:rPr>
                <w:rFonts w:hint="default" w:ascii="Times New Roman" w:hAnsi="Times New Roman" w:eastAsia="仿宋" w:cs="Times New Roman"/>
                <w:bCs/>
                <w:color w:val="000000" w:themeColor="text1"/>
                <w:spacing w:val="5"/>
                <w:kern w:val="0"/>
                <w:sz w:val="28"/>
                <w:szCs w:val="28"/>
              </w:rPr>
              <w:t>确定</w:t>
            </w:r>
            <w:r>
              <w:rPr>
                <w:rFonts w:hint="default" w:ascii="Times New Roman" w:hAnsi="Times New Roman" w:eastAsia="仿宋" w:cs="Times New Roman"/>
                <w:bCs/>
                <w:color w:val="000000" w:themeColor="text1"/>
                <w:sz w:val="28"/>
                <w:szCs w:val="28"/>
              </w:rPr>
              <w:t>建议认定</w:t>
            </w:r>
            <w:r>
              <w:rPr>
                <w:rFonts w:hint="default" w:ascii="Times New Roman" w:hAnsi="Times New Roman" w:eastAsia="仿宋" w:cs="Times New Roman"/>
                <w:bCs/>
                <w:color w:val="000000" w:themeColor="text1"/>
                <w:spacing w:val="5"/>
                <w:kern w:val="0"/>
                <w:sz w:val="28"/>
                <w:szCs w:val="28"/>
              </w:rPr>
              <w:t>名单。</w:t>
            </w:r>
            <w:r>
              <w:rPr>
                <w:rFonts w:hint="default" w:ascii="Times New Roman" w:hAnsi="Times New Roman" w:eastAsia="仿宋" w:cs="Times New Roman"/>
                <w:snapToGrid w:val="0"/>
                <w:color w:val="000000" w:themeColor="text1"/>
                <w:kern w:val="0"/>
                <w:sz w:val="28"/>
                <w:szCs w:val="28"/>
              </w:rPr>
              <w:t xml:space="preserve"> </w:t>
            </w:r>
            <w:r>
              <w:rPr>
                <w:rFonts w:hint="default" w:ascii="Times New Roman" w:hAnsi="Times New Roman" w:eastAsia="仿宋" w:cs="Times New Roman"/>
                <w:bCs/>
                <w:color w:val="000000" w:themeColor="text1"/>
                <w:sz w:val="28"/>
                <w:szCs w:val="28"/>
              </w:rPr>
              <w:t xml:space="preserve"> </w:t>
            </w:r>
          </w:p>
          <w:p>
            <w:pPr>
              <w:snapToGrid w:val="0"/>
              <w:spacing w:line="360" w:lineRule="auto"/>
              <w:ind w:firstLine="560" w:firstLineChars="200"/>
              <w:rPr>
                <w:rFonts w:hint="default" w:ascii="Times New Roman" w:hAnsi="Times New Roman" w:eastAsia="仿宋" w:cs="Times New Roman"/>
                <w:color w:val="000000" w:themeColor="text1"/>
                <w:spacing w:val="5"/>
                <w:kern w:val="0"/>
                <w:sz w:val="28"/>
                <w:szCs w:val="28"/>
              </w:rPr>
            </w:pPr>
            <w:r>
              <w:rPr>
                <w:rFonts w:hint="default" w:ascii="Times New Roman" w:hAnsi="Times New Roman" w:eastAsia="仿宋" w:cs="Times New Roman"/>
                <w:snapToGrid w:val="0"/>
                <w:color w:val="000000" w:themeColor="text1"/>
                <w:kern w:val="0"/>
                <w:sz w:val="28"/>
                <w:szCs w:val="28"/>
              </w:rPr>
              <w:t xml:space="preserve">第十一条 </w:t>
            </w:r>
            <w:r>
              <w:rPr>
                <w:rFonts w:hint="default" w:ascii="Times New Roman" w:hAnsi="Times New Roman" w:eastAsia="仿宋" w:cs="Times New Roman"/>
                <w:color w:val="000000" w:themeColor="text1"/>
                <w:spacing w:val="5"/>
                <w:kern w:val="0"/>
                <w:sz w:val="28"/>
                <w:szCs w:val="28"/>
              </w:rPr>
              <w:t>对</w:t>
            </w:r>
            <w:r>
              <w:rPr>
                <w:rFonts w:hint="default" w:ascii="Times New Roman" w:hAnsi="Times New Roman" w:eastAsia="仿宋" w:cs="Times New Roman"/>
                <w:bCs/>
                <w:color w:val="000000" w:themeColor="text1"/>
                <w:sz w:val="28"/>
                <w:szCs w:val="28"/>
              </w:rPr>
              <w:t>建议认定</w:t>
            </w:r>
            <w:r>
              <w:rPr>
                <w:rFonts w:hint="default" w:ascii="Times New Roman" w:hAnsi="Times New Roman" w:eastAsia="仿宋" w:cs="Times New Roman"/>
                <w:bCs/>
                <w:color w:val="000000" w:themeColor="text1"/>
                <w:spacing w:val="5"/>
                <w:kern w:val="0"/>
                <w:sz w:val="28"/>
                <w:szCs w:val="28"/>
              </w:rPr>
              <w:t>名单</w:t>
            </w:r>
            <w:r>
              <w:rPr>
                <w:rFonts w:hint="default" w:ascii="Times New Roman" w:hAnsi="Times New Roman" w:eastAsia="仿宋" w:cs="Times New Roman"/>
                <w:color w:val="000000" w:themeColor="text1"/>
                <w:spacing w:val="5"/>
                <w:kern w:val="0"/>
                <w:sz w:val="28"/>
                <w:szCs w:val="28"/>
              </w:rPr>
              <w:t>在行业报纸或网站上进行公示，公示期10天。</w:t>
            </w:r>
          </w:p>
          <w:p>
            <w:pPr>
              <w:widowControl/>
              <w:snapToGrid w:val="0"/>
              <w:spacing w:line="360" w:lineRule="auto"/>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第十二条 对公示中无异议或异议不成立的重点实验室，</w:t>
            </w:r>
            <w:r>
              <w:rPr>
                <w:rFonts w:hint="default" w:ascii="Times New Roman" w:hAnsi="Times New Roman" w:eastAsia="仿宋" w:cs="Times New Roman"/>
                <w:snapToGrid w:val="0"/>
                <w:color w:val="000000" w:themeColor="text1"/>
                <w:kern w:val="0"/>
                <w:sz w:val="28"/>
                <w:szCs w:val="28"/>
                <w:lang w:eastAsia="zh-CN"/>
              </w:rPr>
              <w:t>中国纺联</w:t>
            </w:r>
            <w:r>
              <w:rPr>
                <w:rFonts w:hint="default" w:ascii="Times New Roman" w:hAnsi="Times New Roman" w:eastAsia="仿宋" w:cs="Times New Roman"/>
                <w:snapToGrid w:val="0"/>
                <w:color w:val="000000" w:themeColor="text1"/>
                <w:kern w:val="0"/>
                <w:sz w:val="28"/>
                <w:szCs w:val="28"/>
              </w:rPr>
              <w:t>正式认定为</w:t>
            </w:r>
            <w:r>
              <w:rPr>
                <w:rFonts w:hint="eastAsia" w:ascii="Times New Roman" w:hAnsi="Times New Roman" w:eastAsia="仿宋" w:cs="Times New Roman"/>
                <w:snapToGrid w:val="0"/>
                <w:color w:val="000000" w:themeColor="text1"/>
                <w:kern w:val="0"/>
                <w:sz w:val="28"/>
                <w:szCs w:val="28"/>
                <w:lang w:eastAsia="zh-CN"/>
              </w:rPr>
              <w:t>“</w:t>
            </w:r>
            <w:r>
              <w:rPr>
                <w:rFonts w:hint="default" w:ascii="Times New Roman" w:hAnsi="Times New Roman" w:eastAsia="仿宋" w:cs="Times New Roman"/>
                <w:snapToGrid w:val="0"/>
                <w:color w:val="000000" w:themeColor="text1"/>
                <w:kern w:val="0"/>
                <w:sz w:val="28"/>
                <w:szCs w:val="28"/>
              </w:rPr>
              <w:t>纺织行业XX重点实验室（依托单位）</w:t>
            </w:r>
            <w:r>
              <w:rPr>
                <w:rFonts w:hint="eastAsia" w:ascii="Times New Roman" w:hAnsi="Times New Roman" w:eastAsia="仿宋" w:cs="Times New Roman"/>
                <w:snapToGrid w:val="0"/>
                <w:color w:val="000000" w:themeColor="text1"/>
                <w:kern w:val="0"/>
                <w:sz w:val="28"/>
                <w:szCs w:val="28"/>
                <w:lang w:eastAsia="zh-CN"/>
              </w:rPr>
              <w:t>”</w:t>
            </w:r>
            <w:r>
              <w:rPr>
                <w:rFonts w:hint="default" w:ascii="Times New Roman" w:hAnsi="Times New Roman" w:eastAsia="仿宋" w:cs="Times New Roman"/>
                <w:snapToGrid w:val="0"/>
                <w:color w:val="000000" w:themeColor="text1"/>
                <w:kern w:val="0"/>
                <w:sz w:val="28"/>
                <w:szCs w:val="28"/>
              </w:rPr>
              <w:t>，并授牌。</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第十三条 对获得认定的重点实验室，若发现弄虚作假行为，将撤销认定，并追回证牌，同时在媒体上公布。</w:t>
            </w:r>
          </w:p>
          <w:bookmarkEnd w:id="1"/>
          <w:p>
            <w:pPr>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 </w:t>
            </w:r>
          </w:p>
          <w:p>
            <w:pPr>
              <w:widowControl/>
              <w:snapToGrid w:val="0"/>
              <w:spacing w:line="360" w:lineRule="auto"/>
              <w:jc w:val="center"/>
              <w:rPr>
                <w:rStyle w:val="11"/>
                <w:rFonts w:hint="default" w:ascii="Times New Roman" w:hAnsi="Times New Roman" w:eastAsia="仿宋" w:cs="Times New Roman"/>
                <w:b/>
                <w:snapToGrid w:val="0"/>
                <w:color w:val="000000" w:themeColor="text1"/>
                <w:kern w:val="0"/>
                <w:sz w:val="28"/>
                <w:szCs w:val="28"/>
              </w:rPr>
            </w:pPr>
            <w:r>
              <w:rPr>
                <w:rFonts w:hint="default" w:ascii="Times New Roman" w:hAnsi="Times New Roman" w:eastAsia="仿宋" w:cs="Times New Roman"/>
                <w:b/>
                <w:snapToGrid w:val="0"/>
                <w:color w:val="000000" w:themeColor="text1"/>
                <w:kern w:val="0"/>
                <w:sz w:val="28"/>
                <w:szCs w:val="28"/>
              </w:rPr>
              <w:t>第五章  运行与管理</w:t>
            </w:r>
          </w:p>
          <w:p>
            <w:pPr>
              <w:widowControl/>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第十四条 重点实验室实行</w:t>
            </w:r>
            <w:r>
              <w:rPr>
                <w:rFonts w:hint="eastAsia" w:ascii="Times New Roman" w:hAnsi="Times New Roman" w:eastAsia="仿宋" w:cs="Times New Roman"/>
                <w:snapToGrid w:val="0"/>
                <w:color w:val="000000" w:themeColor="text1"/>
                <w:kern w:val="0"/>
                <w:sz w:val="28"/>
                <w:szCs w:val="28"/>
                <w:lang w:eastAsia="zh-CN"/>
              </w:rPr>
              <w:t>“</w:t>
            </w:r>
            <w:r>
              <w:rPr>
                <w:rFonts w:hint="default" w:ascii="Times New Roman" w:hAnsi="Times New Roman" w:eastAsia="仿宋" w:cs="Times New Roman"/>
                <w:snapToGrid w:val="0"/>
                <w:color w:val="000000" w:themeColor="text1"/>
                <w:kern w:val="0"/>
                <w:sz w:val="28"/>
                <w:szCs w:val="28"/>
              </w:rPr>
              <w:t>开放、交流、合作、竞争</w:t>
            </w:r>
            <w:r>
              <w:rPr>
                <w:rFonts w:hint="eastAsia" w:ascii="Times New Roman" w:hAnsi="Times New Roman" w:eastAsia="仿宋" w:cs="Times New Roman"/>
                <w:snapToGrid w:val="0"/>
                <w:color w:val="000000" w:themeColor="text1"/>
                <w:kern w:val="0"/>
                <w:sz w:val="28"/>
                <w:szCs w:val="28"/>
                <w:lang w:eastAsia="zh-CN"/>
              </w:rPr>
              <w:t>”</w:t>
            </w:r>
            <w:r>
              <w:rPr>
                <w:rFonts w:hint="default" w:ascii="Times New Roman" w:hAnsi="Times New Roman" w:eastAsia="仿宋" w:cs="Times New Roman"/>
                <w:snapToGrid w:val="0"/>
                <w:color w:val="000000" w:themeColor="text1"/>
                <w:kern w:val="0"/>
                <w:sz w:val="28"/>
                <w:szCs w:val="28"/>
              </w:rPr>
              <w:t>的运行机制。</w:t>
            </w:r>
          </w:p>
          <w:p>
            <w:pPr>
              <w:widowControl/>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第十五条 重点实验室主任实行聘任制，由依托单位聘任。重点实验室主任应在本领域内具有较高的学术水平，较强的组织能力和管理能力，负责重点实验室的日常工作。</w:t>
            </w:r>
          </w:p>
          <w:p>
            <w:pPr>
              <w:widowControl/>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bCs/>
                <w:snapToGrid w:val="0"/>
                <w:color w:val="000000" w:themeColor="text1"/>
                <w:kern w:val="0"/>
                <w:sz w:val="28"/>
                <w:szCs w:val="28"/>
              </w:rPr>
              <w:t>第</w:t>
            </w:r>
            <w:r>
              <w:rPr>
                <w:rFonts w:hint="default" w:ascii="Times New Roman" w:hAnsi="Times New Roman" w:eastAsia="仿宋" w:cs="Times New Roman"/>
                <w:snapToGrid w:val="0"/>
                <w:color w:val="000000" w:themeColor="text1"/>
                <w:kern w:val="0"/>
                <w:sz w:val="28"/>
                <w:szCs w:val="28"/>
              </w:rPr>
              <w:t>十六</w:t>
            </w:r>
            <w:r>
              <w:rPr>
                <w:rFonts w:hint="default" w:ascii="Times New Roman" w:hAnsi="Times New Roman" w:eastAsia="仿宋" w:cs="Times New Roman"/>
                <w:bCs/>
                <w:snapToGrid w:val="0"/>
                <w:color w:val="000000" w:themeColor="text1"/>
                <w:kern w:val="0"/>
                <w:sz w:val="28"/>
                <w:szCs w:val="28"/>
              </w:rPr>
              <w:t>条</w:t>
            </w:r>
            <w:r>
              <w:rPr>
                <w:rFonts w:hint="default" w:ascii="Times New Roman" w:hAnsi="Times New Roman" w:eastAsia="仿宋" w:cs="Times New Roman"/>
                <w:snapToGrid w:val="0"/>
                <w:color w:val="000000" w:themeColor="text1"/>
                <w:kern w:val="0"/>
                <w:sz w:val="28"/>
                <w:szCs w:val="28"/>
              </w:rPr>
              <w:t xml:space="preserve"> 重点实验室学术委员会应由相同或相关专业领域的专家组成，人数不低于7人。 </w:t>
            </w:r>
          </w:p>
          <w:p>
            <w:pPr>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bCs/>
                <w:snapToGrid w:val="0"/>
                <w:color w:val="000000" w:themeColor="text1"/>
                <w:kern w:val="0"/>
                <w:sz w:val="28"/>
                <w:szCs w:val="28"/>
              </w:rPr>
              <w:t>第十七条</w:t>
            </w:r>
            <w:r>
              <w:rPr>
                <w:rFonts w:hint="default" w:ascii="Times New Roman" w:hAnsi="Times New Roman" w:eastAsia="仿宋" w:cs="Times New Roman"/>
                <w:snapToGrid w:val="0"/>
                <w:color w:val="000000" w:themeColor="text1"/>
                <w:kern w:val="0"/>
                <w:sz w:val="28"/>
                <w:szCs w:val="28"/>
              </w:rPr>
              <w:t xml:space="preserve"> 重点实验室要加大对外开放的力度，努力实现科技资源共享，促进国际国内学术交流，鼓励科研人员通过合作等形式积极开展科研活动。 </w:t>
            </w:r>
          </w:p>
          <w:p>
            <w:pPr>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w:t>
            </w:r>
            <w:r>
              <w:rPr>
                <w:rFonts w:hint="default" w:ascii="Times New Roman" w:hAnsi="Times New Roman" w:eastAsia="仿宋" w:cs="Times New Roman"/>
                <w:bCs/>
                <w:snapToGrid w:val="0"/>
                <w:color w:val="000000" w:themeColor="text1"/>
                <w:kern w:val="0"/>
                <w:sz w:val="28"/>
                <w:szCs w:val="28"/>
              </w:rPr>
              <w:t>十八</w:t>
            </w:r>
            <w:r>
              <w:rPr>
                <w:rFonts w:hint="default" w:ascii="Times New Roman" w:hAnsi="Times New Roman" w:eastAsia="仿宋" w:cs="Times New Roman"/>
                <w:snapToGrid w:val="0"/>
                <w:color w:val="000000" w:themeColor="text1"/>
                <w:kern w:val="0"/>
                <w:sz w:val="28"/>
                <w:szCs w:val="28"/>
              </w:rPr>
              <w:t>条 重点实验室应实行固定研究人员与流动研究人员相结合的制度，积极吸引国内外有成就的人才进入重点实验室工作。</w:t>
            </w:r>
          </w:p>
          <w:p>
            <w:pPr>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第十九条 重点实验室要建立健全规章制度，注重仪器设备的管理，提高实验室设备的利用率和使用效益。</w:t>
            </w:r>
          </w:p>
          <w:p>
            <w:pPr>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第二十条 重点实验室应多渠道筹措研究与管理经费。重点实验室的日常费用由实验室、依托单位自筹，鼓励依托科研院所和高校建设的重点实验室与企业合作开展研究，吸引社会力量投资重点实验室建设。</w:t>
            </w:r>
          </w:p>
          <w:p>
            <w:pPr>
              <w:snapToGrid w:val="0"/>
              <w:spacing w:line="360" w:lineRule="auto"/>
              <w:ind w:firstLine="548" w:firstLineChars="196"/>
              <w:rPr>
                <w:rFonts w:hint="default" w:ascii="Times New Roman" w:hAnsi="Times New Roman" w:eastAsia="仿宋" w:cs="Times New Roman"/>
                <w:snapToGrid w:val="0"/>
                <w:color w:val="000000" w:themeColor="text1"/>
                <w:kern w:val="0"/>
                <w:sz w:val="28"/>
                <w:szCs w:val="28"/>
              </w:rPr>
            </w:pPr>
          </w:p>
          <w:p>
            <w:pPr>
              <w:snapToGrid w:val="0"/>
              <w:spacing w:line="360" w:lineRule="auto"/>
              <w:jc w:val="center"/>
              <w:rPr>
                <w:rFonts w:hint="default" w:ascii="Times New Roman" w:hAnsi="Times New Roman" w:eastAsia="仿宋" w:cs="Times New Roman"/>
                <w:b/>
                <w:bCs/>
                <w:snapToGrid w:val="0"/>
                <w:color w:val="000000" w:themeColor="text1"/>
                <w:kern w:val="0"/>
                <w:sz w:val="28"/>
                <w:szCs w:val="28"/>
              </w:rPr>
            </w:pPr>
            <w:r>
              <w:rPr>
                <w:rFonts w:hint="default" w:ascii="Times New Roman" w:hAnsi="Times New Roman" w:eastAsia="仿宋" w:cs="Times New Roman"/>
                <w:b/>
                <w:bCs/>
                <w:snapToGrid w:val="0"/>
                <w:color w:val="000000" w:themeColor="text1"/>
                <w:kern w:val="0"/>
                <w:sz w:val="28"/>
                <w:szCs w:val="28"/>
              </w:rPr>
              <w:t>第六章  考核与评估</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第二十一条 为加强对重点实验室的管理，</w:t>
            </w:r>
            <w:r>
              <w:rPr>
                <w:rFonts w:hint="default" w:ascii="Times New Roman" w:hAnsi="Times New Roman" w:eastAsia="仿宋" w:cs="Times New Roman"/>
                <w:snapToGrid w:val="0"/>
                <w:color w:val="000000" w:themeColor="text1"/>
                <w:kern w:val="0"/>
                <w:sz w:val="28"/>
                <w:szCs w:val="28"/>
                <w:lang w:eastAsia="zh-CN"/>
              </w:rPr>
              <w:t>中国纺联</w:t>
            </w:r>
            <w:r>
              <w:rPr>
                <w:rFonts w:hint="default" w:ascii="Times New Roman" w:hAnsi="Times New Roman" w:eastAsia="仿宋" w:cs="Times New Roman"/>
                <w:snapToGrid w:val="0"/>
                <w:color w:val="000000" w:themeColor="text1"/>
                <w:kern w:val="0"/>
                <w:sz w:val="28"/>
                <w:szCs w:val="28"/>
              </w:rPr>
              <w:t>对重点实验室每三年进行一次评估考核，主要对重点实验室前三年度的整体运行状况进行综合评价，指标包括：研究水平与贡献、队伍建设与人才培养、开放交流与运行管理等。</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bookmarkStart w:id="2" w:name="_Hlk42269856"/>
            <w:r>
              <w:rPr>
                <w:rFonts w:hint="default" w:ascii="Times New Roman" w:hAnsi="Times New Roman" w:eastAsia="仿宋" w:cs="Times New Roman"/>
                <w:snapToGrid w:val="0"/>
                <w:color w:val="000000" w:themeColor="text1"/>
                <w:kern w:val="0"/>
                <w:sz w:val="28"/>
                <w:szCs w:val="28"/>
              </w:rPr>
              <w:t xml:space="preserve">第二十二条 </w:t>
            </w:r>
            <w:r>
              <w:rPr>
                <w:rFonts w:hint="default" w:ascii="Times New Roman" w:hAnsi="Times New Roman" w:eastAsia="仿宋" w:cs="Times New Roman"/>
                <w:snapToGrid w:val="0"/>
                <w:color w:val="000000" w:themeColor="text1"/>
                <w:kern w:val="0"/>
                <w:sz w:val="28"/>
                <w:szCs w:val="28"/>
                <w:lang w:eastAsia="zh-CN"/>
              </w:rPr>
              <w:t>中国纺联</w:t>
            </w:r>
            <w:r>
              <w:rPr>
                <w:rFonts w:hint="default" w:ascii="Times New Roman" w:hAnsi="Times New Roman" w:eastAsia="仿宋" w:cs="Times New Roman"/>
                <w:snapToGrid w:val="0"/>
                <w:color w:val="000000" w:themeColor="text1"/>
                <w:kern w:val="0"/>
                <w:sz w:val="28"/>
                <w:szCs w:val="28"/>
              </w:rPr>
              <w:t>组织专家对重点实验室上报的评估材料及相关情况进行核查，形成评估结果。评估考核包括会议考核或现场考核二种形式。</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（一） 会议考核：专家组通过审阅评估材料进行考核。</w:t>
            </w:r>
          </w:p>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（二） 现场考核：组织专家到依托单位进行实地考核。</w:t>
            </w:r>
          </w:p>
          <w:bookmarkEnd w:id="2"/>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第二十</w:t>
            </w:r>
            <w:r>
              <w:rPr>
                <w:rFonts w:hint="eastAsia" w:ascii="Times New Roman" w:hAnsi="Times New Roman" w:eastAsia="仿宋" w:cs="Times New Roman"/>
                <w:snapToGrid w:val="0"/>
                <w:color w:val="000000" w:themeColor="text1"/>
                <w:kern w:val="0"/>
                <w:sz w:val="28"/>
                <w:szCs w:val="28"/>
                <w:lang w:eastAsia="zh-CN"/>
              </w:rPr>
              <w:t>三</w:t>
            </w:r>
            <w:r>
              <w:rPr>
                <w:rFonts w:hint="default" w:ascii="Times New Roman" w:hAnsi="Times New Roman" w:eastAsia="仿宋" w:cs="Times New Roman"/>
                <w:snapToGrid w:val="0"/>
                <w:color w:val="000000" w:themeColor="text1"/>
                <w:kern w:val="0"/>
                <w:sz w:val="28"/>
                <w:szCs w:val="28"/>
              </w:rPr>
              <w:t>条 重点实验室评估结果有以下情况之一的评估为不合格：</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（一）评估专家组认定评估材料不合格； </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（二）无特殊原因，逾期一个月不上报评估材料； </w:t>
            </w:r>
          </w:p>
          <w:p>
            <w:pPr>
              <w:snapToGrid w:val="0"/>
              <w:spacing w:line="360" w:lineRule="auto"/>
              <w:ind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（三）上报材料内容严重不实和数据存在虚假；</w:t>
            </w:r>
          </w:p>
          <w:p>
            <w:pPr>
              <w:autoSpaceDE w:val="0"/>
              <w:autoSpaceDN w:val="0"/>
              <w:adjustRightInd w:val="0"/>
              <w:snapToGrid w:val="0"/>
              <w:spacing w:line="360" w:lineRule="auto"/>
              <w:ind w:right="-137"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（四）有重大违规、违法行为。 </w:t>
            </w:r>
          </w:p>
          <w:p>
            <w:pPr>
              <w:snapToGrid w:val="0"/>
              <w:spacing w:line="360" w:lineRule="auto"/>
              <w:ind w:firstLine="560" w:firstLineChars="200"/>
              <w:rPr>
                <w:rFonts w:hint="default" w:ascii="Times New Roman" w:hAnsi="Times New Roman" w:eastAsia="仿宋" w:cs="Times New Roman"/>
                <w:color w:val="000000" w:themeColor="text1"/>
                <w:sz w:val="28"/>
                <w:szCs w:val="28"/>
              </w:rPr>
            </w:pPr>
            <w:r>
              <w:rPr>
                <w:rFonts w:hint="default" w:ascii="Times New Roman" w:hAnsi="Times New Roman" w:eastAsia="仿宋" w:cs="Times New Roman"/>
                <w:snapToGrid w:val="0"/>
                <w:color w:val="000000" w:themeColor="text1"/>
                <w:kern w:val="0"/>
                <w:sz w:val="28"/>
                <w:szCs w:val="28"/>
              </w:rPr>
              <w:t>第二十</w:t>
            </w:r>
            <w:r>
              <w:rPr>
                <w:rFonts w:hint="eastAsia" w:ascii="Times New Roman" w:hAnsi="Times New Roman" w:eastAsia="仿宋" w:cs="Times New Roman"/>
                <w:snapToGrid w:val="0"/>
                <w:color w:val="000000" w:themeColor="text1"/>
                <w:kern w:val="0"/>
                <w:sz w:val="28"/>
                <w:szCs w:val="28"/>
                <w:lang w:eastAsia="zh-CN"/>
              </w:rPr>
              <w:t>四</w:t>
            </w:r>
            <w:r>
              <w:rPr>
                <w:rFonts w:hint="default" w:ascii="Times New Roman" w:hAnsi="Times New Roman" w:eastAsia="仿宋" w:cs="Times New Roman"/>
                <w:snapToGrid w:val="0"/>
                <w:color w:val="000000" w:themeColor="text1"/>
                <w:kern w:val="0"/>
                <w:sz w:val="28"/>
                <w:szCs w:val="28"/>
              </w:rPr>
              <w:t>条 评估不合格的重点实验室限期一年整改，经复评仍不合格的，撤销其重点实验室资格。</w:t>
            </w:r>
          </w:p>
          <w:p>
            <w:pPr>
              <w:snapToGrid w:val="0"/>
              <w:spacing w:line="360" w:lineRule="auto"/>
              <w:ind w:firstLine="560" w:firstLineChars="200"/>
              <w:rPr>
                <w:rFonts w:hint="default" w:ascii="Times New Roman" w:hAnsi="Times New Roman" w:eastAsia="仿宋" w:cs="Times New Roman"/>
                <w:color w:val="000000" w:themeColor="text1"/>
                <w:sz w:val="28"/>
                <w:szCs w:val="28"/>
              </w:rPr>
            </w:pPr>
            <w:bookmarkStart w:id="3" w:name="_Hlk42269905"/>
            <w:r>
              <w:rPr>
                <w:rFonts w:hint="default" w:ascii="Times New Roman" w:hAnsi="Times New Roman" w:eastAsia="仿宋" w:cs="Times New Roman"/>
                <w:snapToGrid w:val="0"/>
                <w:color w:val="000000" w:themeColor="text1"/>
                <w:kern w:val="0"/>
                <w:sz w:val="28"/>
                <w:szCs w:val="28"/>
              </w:rPr>
              <w:t>第二十</w:t>
            </w:r>
            <w:r>
              <w:rPr>
                <w:rFonts w:hint="eastAsia" w:ascii="Times New Roman" w:hAnsi="Times New Roman" w:eastAsia="仿宋" w:cs="Times New Roman"/>
                <w:snapToGrid w:val="0"/>
                <w:color w:val="000000" w:themeColor="text1"/>
                <w:kern w:val="0"/>
                <w:sz w:val="28"/>
                <w:szCs w:val="28"/>
                <w:lang w:eastAsia="zh-CN"/>
              </w:rPr>
              <w:t>五</w:t>
            </w:r>
            <w:r>
              <w:rPr>
                <w:rFonts w:hint="default" w:ascii="Times New Roman" w:hAnsi="Times New Roman" w:eastAsia="仿宋" w:cs="Times New Roman"/>
                <w:snapToGrid w:val="0"/>
                <w:color w:val="000000" w:themeColor="text1"/>
                <w:kern w:val="0"/>
                <w:sz w:val="28"/>
                <w:szCs w:val="28"/>
              </w:rPr>
              <w:t xml:space="preserve">条  </w:t>
            </w:r>
            <w:r>
              <w:rPr>
                <w:rFonts w:hint="default" w:ascii="Times New Roman" w:hAnsi="Times New Roman" w:eastAsia="仿宋" w:cs="Times New Roman"/>
                <w:color w:val="000000" w:themeColor="text1"/>
                <w:kern w:val="0"/>
                <w:sz w:val="28"/>
                <w:szCs w:val="28"/>
              </w:rPr>
              <w:t>未通过评估、不参加评估或中途退出评估的实验室，</w:t>
            </w:r>
            <w:r>
              <w:rPr>
                <w:rFonts w:hint="default" w:ascii="Times New Roman" w:hAnsi="Times New Roman" w:eastAsia="仿宋" w:cs="Times New Roman"/>
                <w:snapToGrid w:val="0"/>
                <w:color w:val="000000" w:themeColor="text1"/>
                <w:kern w:val="0"/>
                <w:sz w:val="28"/>
                <w:szCs w:val="28"/>
              </w:rPr>
              <w:t>撤销其重点实验室资格，</w:t>
            </w:r>
            <w:r>
              <w:rPr>
                <w:rFonts w:hint="default" w:ascii="Times New Roman" w:hAnsi="Times New Roman" w:eastAsia="仿宋" w:cs="Times New Roman"/>
                <w:color w:val="000000" w:themeColor="text1"/>
                <w:kern w:val="0"/>
                <w:sz w:val="28"/>
                <w:szCs w:val="28"/>
              </w:rPr>
              <w:t>不再列入纺织行业重点实验室序列，可以再次提出申请。</w:t>
            </w:r>
          </w:p>
          <w:bookmarkEnd w:id="3"/>
          <w:p>
            <w:pPr>
              <w:widowControl/>
              <w:snapToGrid w:val="0"/>
              <w:spacing w:line="360" w:lineRule="auto"/>
              <w:ind w:firstLine="596" w:firstLineChars="213"/>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 xml:space="preserve">   </w:t>
            </w:r>
          </w:p>
          <w:p>
            <w:pPr>
              <w:tabs>
                <w:tab w:val="left" w:pos="0"/>
              </w:tabs>
              <w:autoSpaceDE w:val="0"/>
              <w:autoSpaceDN w:val="0"/>
              <w:adjustRightInd w:val="0"/>
              <w:snapToGrid w:val="0"/>
              <w:spacing w:line="360" w:lineRule="auto"/>
              <w:ind w:right="-23"/>
              <w:jc w:val="center"/>
              <w:rPr>
                <w:rFonts w:hint="default" w:ascii="Times New Roman" w:hAnsi="Times New Roman" w:eastAsia="仿宋" w:cs="Times New Roman"/>
                <w:b/>
                <w:snapToGrid w:val="0"/>
                <w:color w:val="000000" w:themeColor="text1"/>
                <w:kern w:val="0"/>
                <w:sz w:val="28"/>
                <w:szCs w:val="28"/>
              </w:rPr>
            </w:pPr>
            <w:r>
              <w:rPr>
                <w:rFonts w:hint="default" w:ascii="Times New Roman" w:hAnsi="Times New Roman" w:eastAsia="仿宋" w:cs="Times New Roman"/>
                <w:b/>
                <w:snapToGrid w:val="0"/>
                <w:color w:val="000000" w:themeColor="text1"/>
                <w:kern w:val="0"/>
                <w:sz w:val="28"/>
                <w:szCs w:val="28"/>
              </w:rPr>
              <w:t>第七章  附  则</w:t>
            </w:r>
          </w:p>
          <w:p>
            <w:pPr>
              <w:tabs>
                <w:tab w:val="left" w:pos="0"/>
              </w:tabs>
              <w:autoSpaceDE w:val="0"/>
              <w:autoSpaceDN w:val="0"/>
              <w:adjustRightInd w:val="0"/>
              <w:snapToGrid w:val="0"/>
              <w:spacing w:line="360" w:lineRule="auto"/>
              <w:ind w:right="88"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第二十</w:t>
            </w:r>
            <w:r>
              <w:rPr>
                <w:rFonts w:hint="eastAsia" w:ascii="Times New Roman" w:hAnsi="Times New Roman" w:eastAsia="仿宋" w:cs="Times New Roman"/>
                <w:snapToGrid w:val="0"/>
                <w:color w:val="000000" w:themeColor="text1"/>
                <w:kern w:val="0"/>
                <w:sz w:val="28"/>
                <w:szCs w:val="28"/>
                <w:lang w:eastAsia="zh-CN"/>
              </w:rPr>
              <w:t>六</w:t>
            </w:r>
            <w:r>
              <w:rPr>
                <w:rFonts w:hint="default" w:ascii="Times New Roman" w:hAnsi="Times New Roman" w:eastAsia="仿宋" w:cs="Times New Roman"/>
                <w:snapToGrid w:val="0"/>
                <w:color w:val="000000" w:themeColor="text1"/>
                <w:kern w:val="0"/>
                <w:sz w:val="28"/>
                <w:szCs w:val="28"/>
              </w:rPr>
              <w:t>条</w:t>
            </w:r>
            <w:r>
              <w:rPr>
                <w:rFonts w:hint="default" w:ascii="Times New Roman" w:hAnsi="Times New Roman" w:eastAsia="仿宋" w:cs="Times New Roman"/>
                <w:snapToGrid w:val="0"/>
                <w:color w:val="000000" w:themeColor="text1"/>
                <w:kern w:val="0"/>
                <w:sz w:val="28"/>
                <w:szCs w:val="28"/>
              </w:rPr>
              <w:tab/>
            </w:r>
            <w:r>
              <w:rPr>
                <w:rFonts w:hint="default" w:ascii="Times New Roman" w:hAnsi="Times New Roman" w:eastAsia="仿宋" w:cs="Times New Roman"/>
                <w:snapToGrid w:val="0"/>
                <w:color w:val="000000" w:themeColor="text1"/>
                <w:kern w:val="0"/>
                <w:sz w:val="28"/>
                <w:szCs w:val="28"/>
              </w:rPr>
              <w:t>本办法由中国纺织工业联合会科技发展部负责解释。</w:t>
            </w:r>
          </w:p>
          <w:p>
            <w:pPr>
              <w:tabs>
                <w:tab w:val="left" w:pos="2110"/>
              </w:tabs>
              <w:autoSpaceDE w:val="0"/>
              <w:autoSpaceDN w:val="0"/>
              <w:adjustRightInd w:val="0"/>
              <w:snapToGrid w:val="0"/>
              <w:spacing w:line="360" w:lineRule="auto"/>
              <w:ind w:right="8" w:firstLine="560" w:firstLineChars="200"/>
              <w:rPr>
                <w:rFonts w:hint="default" w:ascii="Times New Roman" w:hAnsi="Times New Roman" w:eastAsia="仿宋" w:cs="Times New Roman"/>
                <w:snapToGrid w:val="0"/>
                <w:color w:val="000000" w:themeColor="text1"/>
                <w:kern w:val="0"/>
                <w:sz w:val="28"/>
                <w:szCs w:val="28"/>
              </w:rPr>
            </w:pPr>
            <w:r>
              <w:rPr>
                <w:rFonts w:hint="default" w:ascii="Times New Roman" w:hAnsi="Times New Roman" w:eastAsia="仿宋" w:cs="Times New Roman"/>
                <w:snapToGrid w:val="0"/>
                <w:color w:val="000000" w:themeColor="text1"/>
                <w:kern w:val="0"/>
                <w:sz w:val="28"/>
                <w:szCs w:val="28"/>
              </w:rPr>
              <w:t>第二十</w:t>
            </w:r>
            <w:r>
              <w:rPr>
                <w:rFonts w:hint="eastAsia" w:ascii="Times New Roman" w:hAnsi="Times New Roman" w:eastAsia="仿宋" w:cs="Times New Roman"/>
                <w:snapToGrid w:val="0"/>
                <w:color w:val="000000" w:themeColor="text1"/>
                <w:kern w:val="0"/>
                <w:sz w:val="28"/>
                <w:szCs w:val="28"/>
                <w:lang w:eastAsia="zh-CN"/>
              </w:rPr>
              <w:t>七</w:t>
            </w:r>
            <w:r>
              <w:rPr>
                <w:rFonts w:hint="default" w:ascii="Times New Roman" w:hAnsi="Times New Roman" w:eastAsia="仿宋" w:cs="Times New Roman"/>
                <w:snapToGrid w:val="0"/>
                <w:color w:val="000000" w:themeColor="text1"/>
                <w:kern w:val="0"/>
                <w:sz w:val="28"/>
                <w:szCs w:val="28"/>
              </w:rPr>
              <w:t>条</w:t>
            </w:r>
            <w:r>
              <w:rPr>
                <w:rFonts w:hint="default" w:ascii="Times New Roman" w:hAnsi="Times New Roman" w:eastAsia="仿宋" w:cs="Times New Roman"/>
                <w:snapToGrid w:val="0"/>
                <w:color w:val="000000" w:themeColor="text1"/>
                <w:kern w:val="0"/>
                <w:sz w:val="28"/>
                <w:szCs w:val="28"/>
              </w:rPr>
              <w:tab/>
            </w:r>
            <w:r>
              <w:rPr>
                <w:rFonts w:hint="default" w:ascii="Times New Roman" w:hAnsi="Times New Roman" w:eastAsia="仿宋" w:cs="Times New Roman"/>
                <w:snapToGrid w:val="0"/>
                <w:color w:val="000000" w:themeColor="text1"/>
                <w:kern w:val="0"/>
                <w:sz w:val="28"/>
                <w:szCs w:val="28"/>
              </w:rPr>
              <w:t>本办法自发布之日起实施。</w:t>
            </w:r>
            <w:bookmarkStart w:id="4" w:name="_GoBack"/>
            <w:bookmarkEnd w:id="4"/>
          </w:p>
          <w:p>
            <w:pPr>
              <w:widowControl/>
              <w:snapToGrid w:val="0"/>
              <w:spacing w:line="360" w:lineRule="auto"/>
              <w:rPr>
                <w:rFonts w:hint="default" w:ascii="Times New Roman" w:hAnsi="Times New Roman" w:cs="Times New Roman"/>
                <w:color w:val="000000" w:themeColor="text1"/>
                <w:kern w:val="0"/>
                <w:sz w:val="28"/>
                <w:szCs w:val="28"/>
              </w:rPr>
            </w:pPr>
          </w:p>
          <w:p>
            <w:pPr>
              <w:widowControl/>
              <w:snapToGrid w:val="0"/>
              <w:spacing w:line="360" w:lineRule="auto"/>
              <w:jc w:val="left"/>
              <w:rPr>
                <w:rFonts w:hint="default" w:ascii="Times New Roman" w:hAnsi="Times New Roman" w:cs="Times New Roman"/>
                <w:color w:val="000000" w:themeColor="text1"/>
                <w:kern w:val="0"/>
                <w:sz w:val="28"/>
                <w:szCs w:val="28"/>
              </w:rPr>
            </w:pPr>
          </w:p>
        </w:tc>
      </w:tr>
    </w:tbl>
    <w:p>
      <w:pPr>
        <w:pStyle w:val="6"/>
        <w:shd w:val="clear" w:color="auto" w:fill="FFFFFF"/>
        <w:snapToGrid w:val="0"/>
        <w:spacing w:before="0" w:beforeAutospacing="0" w:after="0" w:afterAutospacing="0" w:line="360" w:lineRule="auto"/>
        <w:rPr>
          <w:rFonts w:hint="default" w:ascii="Times New Roman" w:hAnsi="Times New Roman" w:eastAsia="仿宋" w:cs="Times New Roman"/>
          <w:snapToGrid w:val="0"/>
          <w:color w:val="000000" w:themeColor="text1"/>
          <w:kern w:val="0"/>
          <w:sz w:val="28"/>
          <w:szCs w:val="28"/>
          <w:lang w:val="en-US" w:eastAsia="zh-CN" w:bidi="ar-SA"/>
        </w:rPr>
      </w:pPr>
    </w:p>
    <w:sectPr>
      <w:footerReference r:id="rId3" w:type="default"/>
      <w:pgSz w:w="11906" w:h="16838"/>
      <w:pgMar w:top="1440" w:right="1758" w:bottom="1440" w:left="175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24559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256F"/>
    <w:rsid w:val="00003038"/>
    <w:rsid w:val="00015CAB"/>
    <w:rsid w:val="00022EB4"/>
    <w:rsid w:val="00025676"/>
    <w:rsid w:val="00027CFC"/>
    <w:rsid w:val="00046BF8"/>
    <w:rsid w:val="00057348"/>
    <w:rsid w:val="00074009"/>
    <w:rsid w:val="0007430F"/>
    <w:rsid w:val="000759CF"/>
    <w:rsid w:val="00083029"/>
    <w:rsid w:val="000B1FB6"/>
    <w:rsid w:val="000B5B5E"/>
    <w:rsid w:val="000D1628"/>
    <w:rsid w:val="000E5767"/>
    <w:rsid w:val="000F42FF"/>
    <w:rsid w:val="000F4D07"/>
    <w:rsid w:val="00112783"/>
    <w:rsid w:val="00146598"/>
    <w:rsid w:val="001600CB"/>
    <w:rsid w:val="001827BE"/>
    <w:rsid w:val="001971B8"/>
    <w:rsid w:val="001D0051"/>
    <w:rsid w:val="001D0448"/>
    <w:rsid w:val="001E6278"/>
    <w:rsid w:val="001F32F8"/>
    <w:rsid w:val="0020661D"/>
    <w:rsid w:val="0023084A"/>
    <w:rsid w:val="0024042A"/>
    <w:rsid w:val="00243217"/>
    <w:rsid w:val="0026111F"/>
    <w:rsid w:val="002721D6"/>
    <w:rsid w:val="00292B9A"/>
    <w:rsid w:val="002C5D7B"/>
    <w:rsid w:val="002D135C"/>
    <w:rsid w:val="002E1743"/>
    <w:rsid w:val="002E1F92"/>
    <w:rsid w:val="002E79D8"/>
    <w:rsid w:val="002F52DD"/>
    <w:rsid w:val="002F657C"/>
    <w:rsid w:val="003121C8"/>
    <w:rsid w:val="0033212C"/>
    <w:rsid w:val="003324E2"/>
    <w:rsid w:val="00346771"/>
    <w:rsid w:val="00363655"/>
    <w:rsid w:val="00371093"/>
    <w:rsid w:val="0037717C"/>
    <w:rsid w:val="0038295C"/>
    <w:rsid w:val="003A1238"/>
    <w:rsid w:val="003C1A14"/>
    <w:rsid w:val="003C46F3"/>
    <w:rsid w:val="003D6116"/>
    <w:rsid w:val="003E55D2"/>
    <w:rsid w:val="004054A2"/>
    <w:rsid w:val="00405687"/>
    <w:rsid w:val="0043400E"/>
    <w:rsid w:val="004354B2"/>
    <w:rsid w:val="00446E88"/>
    <w:rsid w:val="00454DEF"/>
    <w:rsid w:val="00491EC2"/>
    <w:rsid w:val="004A5D50"/>
    <w:rsid w:val="004B6E3F"/>
    <w:rsid w:val="004D1CE1"/>
    <w:rsid w:val="004D52BA"/>
    <w:rsid w:val="004D62F9"/>
    <w:rsid w:val="004E2760"/>
    <w:rsid w:val="004F2563"/>
    <w:rsid w:val="0050199C"/>
    <w:rsid w:val="005059A2"/>
    <w:rsid w:val="0051394D"/>
    <w:rsid w:val="00543122"/>
    <w:rsid w:val="00561BA5"/>
    <w:rsid w:val="00562833"/>
    <w:rsid w:val="005804B1"/>
    <w:rsid w:val="0059385F"/>
    <w:rsid w:val="005C0370"/>
    <w:rsid w:val="005D1BBC"/>
    <w:rsid w:val="00600D15"/>
    <w:rsid w:val="00606226"/>
    <w:rsid w:val="00613392"/>
    <w:rsid w:val="0063256F"/>
    <w:rsid w:val="006421F2"/>
    <w:rsid w:val="00647543"/>
    <w:rsid w:val="00653276"/>
    <w:rsid w:val="0065536E"/>
    <w:rsid w:val="00655B76"/>
    <w:rsid w:val="00661D5B"/>
    <w:rsid w:val="00664D63"/>
    <w:rsid w:val="00670AEB"/>
    <w:rsid w:val="006818FA"/>
    <w:rsid w:val="006A3930"/>
    <w:rsid w:val="006A6C93"/>
    <w:rsid w:val="006B18ED"/>
    <w:rsid w:val="006C738D"/>
    <w:rsid w:val="006D4DE1"/>
    <w:rsid w:val="006E051E"/>
    <w:rsid w:val="006E4CF6"/>
    <w:rsid w:val="006F5AAA"/>
    <w:rsid w:val="0070410F"/>
    <w:rsid w:val="00722A4E"/>
    <w:rsid w:val="00722AD8"/>
    <w:rsid w:val="0073181B"/>
    <w:rsid w:val="00737EBC"/>
    <w:rsid w:val="007437F4"/>
    <w:rsid w:val="0076141E"/>
    <w:rsid w:val="00773352"/>
    <w:rsid w:val="00790DA8"/>
    <w:rsid w:val="007A222E"/>
    <w:rsid w:val="007A6201"/>
    <w:rsid w:val="007C5784"/>
    <w:rsid w:val="007C7CA3"/>
    <w:rsid w:val="007D1648"/>
    <w:rsid w:val="007D2EFD"/>
    <w:rsid w:val="007D3588"/>
    <w:rsid w:val="007F4E56"/>
    <w:rsid w:val="00806223"/>
    <w:rsid w:val="0081012A"/>
    <w:rsid w:val="00832D52"/>
    <w:rsid w:val="008873B9"/>
    <w:rsid w:val="008A6762"/>
    <w:rsid w:val="008B0CFC"/>
    <w:rsid w:val="008C0460"/>
    <w:rsid w:val="008E49D2"/>
    <w:rsid w:val="008F684F"/>
    <w:rsid w:val="00902AFA"/>
    <w:rsid w:val="00903E84"/>
    <w:rsid w:val="00906416"/>
    <w:rsid w:val="00916A37"/>
    <w:rsid w:val="0092213F"/>
    <w:rsid w:val="009239DC"/>
    <w:rsid w:val="00927FA3"/>
    <w:rsid w:val="0093440B"/>
    <w:rsid w:val="009448CA"/>
    <w:rsid w:val="00950AA3"/>
    <w:rsid w:val="0097215B"/>
    <w:rsid w:val="00975EBF"/>
    <w:rsid w:val="009A58F8"/>
    <w:rsid w:val="009A5C6E"/>
    <w:rsid w:val="009B5D05"/>
    <w:rsid w:val="009C6A33"/>
    <w:rsid w:val="009C77F2"/>
    <w:rsid w:val="009D12A6"/>
    <w:rsid w:val="009D7288"/>
    <w:rsid w:val="009F0F5F"/>
    <w:rsid w:val="009F34C9"/>
    <w:rsid w:val="00A0372E"/>
    <w:rsid w:val="00A04D89"/>
    <w:rsid w:val="00A05C8B"/>
    <w:rsid w:val="00A14CE6"/>
    <w:rsid w:val="00A2433B"/>
    <w:rsid w:val="00A5107E"/>
    <w:rsid w:val="00A543C6"/>
    <w:rsid w:val="00A55D18"/>
    <w:rsid w:val="00A62D17"/>
    <w:rsid w:val="00A7618D"/>
    <w:rsid w:val="00A96EC7"/>
    <w:rsid w:val="00AB7553"/>
    <w:rsid w:val="00AF673C"/>
    <w:rsid w:val="00B26EB4"/>
    <w:rsid w:val="00B82F2A"/>
    <w:rsid w:val="00B92BBF"/>
    <w:rsid w:val="00B93DD0"/>
    <w:rsid w:val="00BA4913"/>
    <w:rsid w:val="00BB461F"/>
    <w:rsid w:val="00BB523A"/>
    <w:rsid w:val="00BC0BE9"/>
    <w:rsid w:val="00BC6AA9"/>
    <w:rsid w:val="00C04F0F"/>
    <w:rsid w:val="00C11344"/>
    <w:rsid w:val="00C22598"/>
    <w:rsid w:val="00C30DBA"/>
    <w:rsid w:val="00C579FB"/>
    <w:rsid w:val="00C6408D"/>
    <w:rsid w:val="00C76F69"/>
    <w:rsid w:val="00C92B72"/>
    <w:rsid w:val="00CA71FC"/>
    <w:rsid w:val="00CB5C14"/>
    <w:rsid w:val="00CB7408"/>
    <w:rsid w:val="00CE0BB2"/>
    <w:rsid w:val="00CF4A70"/>
    <w:rsid w:val="00CF657B"/>
    <w:rsid w:val="00D027C5"/>
    <w:rsid w:val="00D04E3D"/>
    <w:rsid w:val="00D05CF7"/>
    <w:rsid w:val="00D14002"/>
    <w:rsid w:val="00D1762D"/>
    <w:rsid w:val="00D32D9A"/>
    <w:rsid w:val="00D36F64"/>
    <w:rsid w:val="00D40B70"/>
    <w:rsid w:val="00D5147B"/>
    <w:rsid w:val="00D62EC1"/>
    <w:rsid w:val="00D826CB"/>
    <w:rsid w:val="00D85C3D"/>
    <w:rsid w:val="00D85F25"/>
    <w:rsid w:val="00D954AA"/>
    <w:rsid w:val="00DA2DF0"/>
    <w:rsid w:val="00DC6C04"/>
    <w:rsid w:val="00E046EE"/>
    <w:rsid w:val="00E373A0"/>
    <w:rsid w:val="00E649D1"/>
    <w:rsid w:val="00E75BCB"/>
    <w:rsid w:val="00E8164E"/>
    <w:rsid w:val="00E92C3A"/>
    <w:rsid w:val="00EB79CE"/>
    <w:rsid w:val="00EC6BB0"/>
    <w:rsid w:val="00ED3D4F"/>
    <w:rsid w:val="00F23AC2"/>
    <w:rsid w:val="00F2519B"/>
    <w:rsid w:val="00F43CE4"/>
    <w:rsid w:val="00F453E1"/>
    <w:rsid w:val="00F61615"/>
    <w:rsid w:val="00F64C81"/>
    <w:rsid w:val="00F73806"/>
    <w:rsid w:val="00F77E49"/>
    <w:rsid w:val="00FC14A1"/>
    <w:rsid w:val="00FC33E4"/>
    <w:rsid w:val="00FD4F30"/>
    <w:rsid w:val="00FD5072"/>
    <w:rsid w:val="00FF56DD"/>
    <w:rsid w:val="021B471A"/>
    <w:rsid w:val="0585736C"/>
    <w:rsid w:val="0C5C76AC"/>
    <w:rsid w:val="14DE5DFB"/>
    <w:rsid w:val="1DBF6B44"/>
    <w:rsid w:val="24287A95"/>
    <w:rsid w:val="25B15231"/>
    <w:rsid w:val="2930347A"/>
    <w:rsid w:val="2AA76A97"/>
    <w:rsid w:val="313B5FF8"/>
    <w:rsid w:val="5B531592"/>
    <w:rsid w:val="5E25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333333"/>
      <w:u w:val="none"/>
    </w:rPr>
  </w:style>
  <w:style w:type="character" w:customStyle="1" w:styleId="11">
    <w:name w:val="apple-converted-space"/>
    <w:basedOn w:val="8"/>
    <w:qFormat/>
    <w:uiPriority w:val="0"/>
  </w:style>
  <w:style w:type="character" w:customStyle="1" w:styleId="12">
    <w:name w:val="批注框文本 字符"/>
    <w:basedOn w:val="8"/>
    <w:link w:val="3"/>
    <w:semiHidden/>
    <w:qFormat/>
    <w:uiPriority w:val="99"/>
    <w:rPr>
      <w:sz w:val="18"/>
      <w:szCs w:val="1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7">
    <w:name w:val="CM10"/>
    <w:basedOn w:val="16"/>
    <w:next w:val="16"/>
    <w:qFormat/>
    <w:uiPriority w:val="99"/>
    <w:pPr>
      <w:spacing w:after="210"/>
    </w:pPr>
    <w:rPr>
      <w:rFonts w:cstheme="minorBidi"/>
      <w:color w:val="auto"/>
    </w:rPr>
  </w:style>
  <w:style w:type="paragraph" w:customStyle="1" w:styleId="18">
    <w:name w:val="@标题2"/>
    <w:basedOn w:val="2"/>
    <w:qFormat/>
    <w:uiPriority w:val="0"/>
    <w:pPr>
      <w:autoSpaceDE w:val="0"/>
      <w:autoSpaceDN w:val="0"/>
      <w:adjustRightInd w:val="0"/>
      <w:spacing w:before="0" w:after="0" w:line="360" w:lineRule="auto"/>
      <w:jc w:val="center"/>
    </w:pPr>
    <w:rPr>
      <w:rFonts w:ascii="宋体" w:hAnsi="宋体" w:eastAsia="宋体" w:cs="宋体"/>
      <w:kern w:val="0"/>
      <w:sz w:val="30"/>
      <w:szCs w:val="30"/>
    </w:rPr>
  </w:style>
  <w:style w:type="character" w:customStyle="1" w:styleId="19">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207CD-5579-480C-BB38-774A71AFEA0D}">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2139</Characters>
  <Lines>17</Lines>
  <Paragraphs>5</Paragraphs>
  <TotalTime>4</TotalTime>
  <ScaleCrop>false</ScaleCrop>
  <LinksUpToDate>false</LinksUpToDate>
  <CharactersWithSpaces>2509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2018-04-07T16:23:00Z</dcterms:created>
  <dc:creator>fzkj</dc:creator>
  <cp:lastModifiedBy>BY</cp:lastModifiedBy>
  <cp:lastPrinted>2018-04-08T02:40:00Z</cp:lastPrinted>
  <dcterms:modified xsi:type="dcterms:W3CDTF">2021-01-27T07:24:52Z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