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提名2023年度中国中国发明协会“发明创业奖”创新奖公示内容</w:t>
      </w:r>
    </w:p>
    <w:p>
      <w:pPr>
        <w:spacing w:line="520" w:lineRule="exact"/>
        <w:jc w:val="left"/>
        <w:rPr>
          <w:rFonts w:eastAsia="仿宋_GB2312"/>
          <w:bCs/>
          <w:sz w:val="32"/>
          <w:szCs w:val="32"/>
        </w:rPr>
      </w:pPr>
      <w:r>
        <w:rPr>
          <w:rFonts w:hint="eastAsia" w:eastAsia="仿宋_GB2312"/>
          <w:bCs/>
          <w:sz w:val="32"/>
          <w:szCs w:val="32"/>
        </w:rPr>
        <w:t>项目名称：中药姜黄及其高值衍生物的绿色制备与创新应用</w:t>
      </w:r>
    </w:p>
    <w:p>
      <w:pPr>
        <w:spacing w:line="520" w:lineRule="exact"/>
        <w:jc w:val="left"/>
        <w:rPr>
          <w:rFonts w:hint="eastAsia" w:eastAsia="仿宋_GB2312"/>
          <w:bCs/>
          <w:sz w:val="32"/>
          <w:szCs w:val="32"/>
        </w:rPr>
      </w:pPr>
      <w:r>
        <w:rPr>
          <w:rFonts w:hint="eastAsia" w:eastAsia="仿宋_GB2312"/>
          <w:bCs/>
          <w:sz w:val="32"/>
          <w:szCs w:val="32"/>
        </w:rPr>
        <w:t xml:space="preserve">完成人：徐德锋 胡航 周欢 龚顺泽 王建浩 招秀伯 </w:t>
      </w:r>
    </w:p>
    <w:p>
      <w:pPr>
        <w:rPr>
          <w:rFonts w:hint="eastAsia" w:eastAsia="仿宋_GB2312"/>
          <w:bCs/>
          <w:sz w:val="32"/>
          <w:szCs w:val="32"/>
        </w:rPr>
      </w:pPr>
      <w:r>
        <w:rPr>
          <w:rFonts w:hint="eastAsia" w:eastAsia="仿宋_GB2312"/>
          <w:bCs/>
          <w:sz w:val="32"/>
          <w:szCs w:val="32"/>
        </w:rPr>
        <w:t>完成单位：常州大学</w:t>
      </w:r>
      <w:r>
        <w:rPr>
          <w:rFonts w:hint="eastAsia" w:eastAsia="仿宋_GB2312"/>
          <w:bCs/>
          <w:sz w:val="32"/>
          <w:szCs w:val="32"/>
          <w:lang w:val="en-US" w:eastAsia="zh-CN"/>
        </w:rPr>
        <w:t xml:space="preserve"> </w:t>
      </w:r>
      <w:r>
        <w:rPr>
          <w:rFonts w:hint="eastAsia" w:eastAsia="仿宋_GB2312"/>
          <w:bCs/>
          <w:sz w:val="32"/>
          <w:szCs w:val="32"/>
        </w:rPr>
        <w:t>江苏慧博生物科技有限公司</w:t>
      </w:r>
    </w:p>
    <w:p>
      <w:pPr>
        <w:rPr>
          <w:rFonts w:hint="eastAsia" w:eastAsia="仿宋_GB2312"/>
          <w:bCs/>
          <w:sz w:val="32"/>
          <w:szCs w:val="32"/>
          <w:lang w:val="en-US" w:eastAsia="zh-CN"/>
        </w:rPr>
      </w:pPr>
      <w:r>
        <w:rPr>
          <w:rFonts w:hint="eastAsia" w:eastAsia="仿宋_GB2312"/>
          <w:bCs/>
          <w:sz w:val="32"/>
          <w:szCs w:val="32"/>
          <w:lang w:val="en-US" w:eastAsia="zh-CN"/>
        </w:rPr>
        <w:t>知识产权目录：</w:t>
      </w:r>
    </w:p>
    <w:p>
      <w:pPr>
        <w:spacing w:line="360" w:lineRule="auto"/>
        <w:jc w:val="center"/>
        <w:rPr>
          <w:rFonts w:ascii="仿宋" w:hAnsi="仿宋" w:eastAsia="仿宋" w:cs="(使用中文字体)"/>
          <w:b/>
          <w:kern w:val="0"/>
          <w:sz w:val="24"/>
        </w:rPr>
      </w:pPr>
      <w:r>
        <w:rPr>
          <w:rFonts w:hint="eastAsia" w:ascii="仿宋" w:hAnsi="仿宋" w:eastAsia="仿宋" w:cs="(使用中文字体)"/>
          <w:b/>
          <w:kern w:val="0"/>
          <w:sz w:val="24"/>
        </w:rPr>
        <w:t>主要知识产权和标准规范等目录</w:t>
      </w:r>
    </w:p>
    <w:tbl>
      <w:tblPr>
        <w:tblStyle w:val="2"/>
        <w:tblW w:w="856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98"/>
        <w:gridCol w:w="1698"/>
        <w:gridCol w:w="1160"/>
        <w:gridCol w:w="1325"/>
        <w:gridCol w:w="148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98" w:type="dxa"/>
            <w:vAlign w:val="center"/>
          </w:tcPr>
          <w:p>
            <w:pPr>
              <w:spacing w:line="360" w:lineRule="auto"/>
              <w:jc w:val="center"/>
              <w:rPr>
                <w:rFonts w:ascii="仿宋" w:hAnsi="仿宋" w:eastAsia="仿宋" w:cs="(使用中文字体)"/>
                <w:b/>
                <w:kern w:val="0"/>
                <w:sz w:val="24"/>
              </w:rPr>
            </w:pPr>
            <w:r>
              <w:rPr>
                <w:rFonts w:ascii="仿宋" w:hAnsi="仿宋" w:eastAsia="仿宋" w:cs="(使用中文字体)"/>
                <w:b/>
                <w:kern w:val="0"/>
                <w:sz w:val="24"/>
              </w:rPr>
              <w:t>知识产权类别</w:t>
            </w:r>
          </w:p>
        </w:tc>
        <w:tc>
          <w:tcPr>
            <w:tcW w:w="1698" w:type="dxa"/>
            <w:vAlign w:val="center"/>
          </w:tcPr>
          <w:p>
            <w:pPr>
              <w:spacing w:line="360" w:lineRule="auto"/>
              <w:jc w:val="center"/>
              <w:rPr>
                <w:rFonts w:ascii="仿宋" w:hAnsi="仿宋" w:eastAsia="仿宋" w:cs="(使用中文字体)"/>
                <w:b/>
                <w:kern w:val="0"/>
                <w:sz w:val="24"/>
              </w:rPr>
            </w:pPr>
            <w:r>
              <w:rPr>
                <w:rFonts w:hint="eastAsia" w:ascii="仿宋" w:hAnsi="仿宋" w:eastAsia="仿宋" w:cs="(使用中文字体)"/>
                <w:b/>
                <w:kern w:val="0"/>
                <w:sz w:val="24"/>
              </w:rPr>
              <w:t>知识产权具体</w:t>
            </w:r>
            <w:r>
              <w:rPr>
                <w:rFonts w:ascii="仿宋" w:hAnsi="仿宋" w:eastAsia="仿宋" w:cs="(使用中文字体)"/>
                <w:b/>
                <w:kern w:val="0"/>
                <w:sz w:val="24"/>
              </w:rPr>
              <w:t>名称</w:t>
            </w:r>
          </w:p>
        </w:tc>
        <w:tc>
          <w:tcPr>
            <w:tcW w:w="1160" w:type="dxa"/>
            <w:vAlign w:val="center"/>
          </w:tcPr>
          <w:p>
            <w:pPr>
              <w:spacing w:line="360" w:lineRule="auto"/>
              <w:jc w:val="center"/>
              <w:rPr>
                <w:rFonts w:ascii="仿宋" w:hAnsi="仿宋" w:eastAsia="仿宋" w:cs="(使用中文字体)"/>
                <w:b/>
                <w:kern w:val="0"/>
                <w:sz w:val="24"/>
              </w:rPr>
            </w:pPr>
            <w:r>
              <w:rPr>
                <w:rFonts w:hint="eastAsia" w:ascii="仿宋" w:hAnsi="仿宋" w:eastAsia="仿宋" w:cs="(使用中文字体)"/>
                <w:b/>
                <w:kern w:val="0"/>
                <w:sz w:val="24"/>
              </w:rPr>
              <w:t>授权日期</w:t>
            </w:r>
          </w:p>
        </w:tc>
        <w:tc>
          <w:tcPr>
            <w:tcW w:w="1325" w:type="dxa"/>
            <w:vAlign w:val="center"/>
          </w:tcPr>
          <w:p>
            <w:pPr>
              <w:spacing w:line="360" w:lineRule="auto"/>
              <w:jc w:val="center"/>
              <w:rPr>
                <w:rFonts w:ascii="仿宋" w:hAnsi="仿宋" w:eastAsia="仿宋" w:cs="(使用中文字体)"/>
                <w:b/>
                <w:kern w:val="0"/>
                <w:sz w:val="24"/>
              </w:rPr>
            </w:pPr>
            <w:r>
              <w:rPr>
                <w:rFonts w:hint="eastAsia" w:ascii="仿宋" w:hAnsi="仿宋" w:eastAsia="仿宋" w:cs="(使用中文字体)"/>
                <w:b/>
                <w:kern w:val="0"/>
                <w:sz w:val="24"/>
                <w:lang w:eastAsia="zh-CN"/>
              </w:rPr>
              <w:t>专利</w:t>
            </w:r>
            <w:r>
              <w:rPr>
                <w:rFonts w:hint="eastAsia" w:ascii="仿宋" w:hAnsi="仿宋" w:eastAsia="仿宋" w:cs="(使用中文字体)"/>
                <w:b/>
                <w:kern w:val="0"/>
                <w:sz w:val="24"/>
              </w:rPr>
              <w:t>号</w:t>
            </w:r>
          </w:p>
        </w:tc>
        <w:tc>
          <w:tcPr>
            <w:tcW w:w="1485" w:type="dxa"/>
            <w:vAlign w:val="center"/>
          </w:tcPr>
          <w:p>
            <w:pPr>
              <w:spacing w:line="360" w:lineRule="auto"/>
              <w:jc w:val="center"/>
              <w:rPr>
                <w:rFonts w:ascii="仿宋" w:hAnsi="仿宋" w:eastAsia="仿宋" w:cs="(使用中文字体)"/>
                <w:b/>
                <w:kern w:val="0"/>
                <w:sz w:val="24"/>
              </w:rPr>
            </w:pPr>
            <w:r>
              <w:rPr>
                <w:rFonts w:hint="eastAsia" w:ascii="仿宋" w:hAnsi="仿宋" w:eastAsia="仿宋" w:cs="(使用中文字体)"/>
                <w:b/>
                <w:kern w:val="0"/>
                <w:sz w:val="24"/>
              </w:rPr>
              <w:t>权利人</w:t>
            </w:r>
          </w:p>
        </w:tc>
        <w:tc>
          <w:tcPr>
            <w:tcW w:w="1697" w:type="dxa"/>
            <w:vAlign w:val="center"/>
          </w:tcPr>
          <w:p>
            <w:pPr>
              <w:spacing w:line="360" w:lineRule="auto"/>
              <w:jc w:val="center"/>
              <w:rPr>
                <w:rFonts w:ascii="仿宋" w:hAnsi="仿宋" w:eastAsia="仿宋" w:cs="(使用中文字体)"/>
                <w:b/>
                <w:kern w:val="0"/>
                <w:sz w:val="24"/>
              </w:rPr>
            </w:pPr>
            <w:r>
              <w:rPr>
                <w:rFonts w:hint="eastAsia" w:ascii="仿宋" w:hAnsi="仿宋" w:eastAsia="仿宋" w:cs="(使用中文字体)"/>
                <w:b/>
                <w:kern w:val="0"/>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lang w:eastAsia="zh-CN"/>
              </w:rPr>
            </w:pPr>
            <w:r>
              <w:rPr>
                <w:rFonts w:hint="eastAsia" w:ascii="仿宋" w:hAnsi="仿宋" w:eastAsia="仿宋" w:cs="(使用中文字体)"/>
                <w:b w:val="0"/>
                <w:bCs/>
                <w:kern w:val="0"/>
                <w:sz w:val="24"/>
                <w:szCs w:val="24"/>
                <w:lang w:eastAsia="zh-CN"/>
              </w:rPr>
              <w:t>发明专利</w:t>
            </w:r>
          </w:p>
        </w:tc>
        <w:tc>
          <w:tcPr>
            <w:tcW w:w="16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rPr>
              <w:t>一种二烷基姜黄素的制备方法</w:t>
            </w:r>
          </w:p>
        </w:tc>
        <w:tc>
          <w:tcPr>
            <w:tcW w:w="11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2015-08-12</w:t>
            </w:r>
          </w:p>
        </w:tc>
        <w:tc>
          <w:tcPr>
            <w:tcW w:w="13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ZL2013102057777</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常州大学</w:t>
            </w:r>
          </w:p>
        </w:tc>
        <w:tc>
          <w:tcPr>
            <w:tcW w:w="169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lang w:eastAsia="zh-CN"/>
              </w:rPr>
            </w:pPr>
            <w:r>
              <w:rPr>
                <w:rFonts w:hint="eastAsia" w:ascii="仿宋" w:hAnsi="仿宋" w:eastAsia="仿宋" w:cs="(使用中文字体)"/>
                <w:b w:val="0"/>
                <w:bCs/>
                <w:kern w:val="0"/>
                <w:sz w:val="24"/>
                <w:szCs w:val="24"/>
                <w:lang w:eastAsia="zh-CN"/>
              </w:rPr>
              <w:t>徐德锋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lang w:eastAsia="zh-CN"/>
              </w:rPr>
              <w:t>发明专利</w:t>
            </w:r>
          </w:p>
        </w:tc>
        <w:tc>
          <w:tcPr>
            <w:tcW w:w="16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rPr>
              <w:t>一种具有祛痘功效的药物组合物及其制备方法</w:t>
            </w:r>
          </w:p>
        </w:tc>
        <w:tc>
          <w:tcPr>
            <w:tcW w:w="11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2014-01-01</w:t>
            </w:r>
          </w:p>
        </w:tc>
        <w:tc>
          <w:tcPr>
            <w:tcW w:w="13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ZL201210439331.6</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rPr>
              <w:t>江苏慧博生物科技有限公司</w:t>
            </w:r>
          </w:p>
        </w:tc>
        <w:tc>
          <w:tcPr>
            <w:tcW w:w="169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lang w:eastAsia="zh-CN"/>
              </w:rPr>
              <w:t>徐德锋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lang w:eastAsia="zh-CN"/>
              </w:rPr>
              <w:t>发明专利</w:t>
            </w:r>
          </w:p>
        </w:tc>
        <w:tc>
          <w:tcPr>
            <w:tcW w:w="16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rPr>
              <w:t>二甲基姜黄素前药纳米粒、纳米制剂及其制备方法和应用</w:t>
            </w:r>
          </w:p>
        </w:tc>
        <w:tc>
          <w:tcPr>
            <w:tcW w:w="11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2022-07-05</w:t>
            </w:r>
          </w:p>
        </w:tc>
        <w:tc>
          <w:tcPr>
            <w:tcW w:w="13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ZL202010853775.9</w:t>
            </w:r>
          </w:p>
        </w:tc>
        <w:tc>
          <w:tcPr>
            <w:tcW w:w="148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常州大学</w:t>
            </w:r>
          </w:p>
        </w:tc>
        <w:tc>
          <w:tcPr>
            <w:tcW w:w="169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eastAsia="zh-CN"/>
              </w:rPr>
              <w:t>徐德锋</w:t>
            </w:r>
            <w:r>
              <w:rPr>
                <w:rFonts w:hint="eastAsia" w:ascii="仿宋" w:hAnsi="仿宋" w:eastAsia="仿宋" w:cs="(使用中文字体)"/>
                <w:b w:val="0"/>
                <w:bCs/>
                <w:kern w:val="0"/>
                <w:sz w:val="24"/>
                <w:szCs w:val="24"/>
                <w:lang w:val="en-US" w:eastAsia="zh-CN"/>
              </w:rPr>
              <w:t xml:space="preserve"> 赖超 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lang w:eastAsia="zh-CN"/>
              </w:rPr>
              <w:t>发明专利</w:t>
            </w:r>
          </w:p>
        </w:tc>
        <w:tc>
          <w:tcPr>
            <w:tcW w:w="16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rPr>
              <w:t>pH敏感性肝癌高效靶向混合聚合物纳米粒及其制备方法</w:t>
            </w:r>
          </w:p>
        </w:tc>
        <w:tc>
          <w:tcPr>
            <w:tcW w:w="11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2023-05-23</w:t>
            </w:r>
          </w:p>
        </w:tc>
        <w:tc>
          <w:tcPr>
            <w:tcW w:w="13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rPr>
              <w:t>ZL202210567935.2</w:t>
            </w:r>
          </w:p>
        </w:tc>
        <w:tc>
          <w:tcPr>
            <w:tcW w:w="148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常州大学</w:t>
            </w:r>
          </w:p>
        </w:tc>
        <w:tc>
          <w:tcPr>
            <w:tcW w:w="169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胡航 洪俊 徐德锋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lang w:eastAsia="zh-CN"/>
              </w:rPr>
              <w:t>发明专利</w:t>
            </w:r>
          </w:p>
        </w:tc>
        <w:tc>
          <w:tcPr>
            <w:tcW w:w="169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rPr>
            </w:pPr>
            <w:r>
              <w:rPr>
                <w:rFonts w:hint="eastAsia" w:ascii="仿宋" w:hAnsi="仿宋" w:eastAsia="仿宋" w:cs="(使用中文字体)"/>
                <w:b w:val="0"/>
                <w:bCs/>
                <w:kern w:val="0"/>
                <w:sz w:val="24"/>
                <w:szCs w:val="24"/>
              </w:rPr>
              <w:t>一种男性保健食品及其制备方法</w:t>
            </w:r>
          </w:p>
        </w:tc>
        <w:tc>
          <w:tcPr>
            <w:tcW w:w="11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2015-06-03</w:t>
            </w:r>
          </w:p>
        </w:tc>
        <w:tc>
          <w:tcPr>
            <w:tcW w:w="13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val="en-US" w:eastAsia="zh-CN"/>
              </w:rPr>
              <w:t>ZL201410132486.4</w:t>
            </w:r>
          </w:p>
        </w:tc>
        <w:tc>
          <w:tcPr>
            <w:tcW w:w="148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rPr>
              <w:t>江苏慧博生物科技有限公司</w:t>
            </w:r>
          </w:p>
        </w:tc>
        <w:tc>
          <w:tcPr>
            <w:tcW w:w="169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使用中文字体)"/>
                <w:b w:val="0"/>
                <w:bCs/>
                <w:kern w:val="0"/>
                <w:sz w:val="24"/>
                <w:szCs w:val="24"/>
                <w:lang w:val="en-US" w:eastAsia="zh-CN"/>
              </w:rPr>
            </w:pPr>
            <w:r>
              <w:rPr>
                <w:rFonts w:hint="eastAsia" w:ascii="仿宋" w:hAnsi="仿宋" w:eastAsia="仿宋" w:cs="(使用中文字体)"/>
                <w:b w:val="0"/>
                <w:bCs/>
                <w:kern w:val="0"/>
                <w:sz w:val="24"/>
                <w:szCs w:val="24"/>
                <w:lang w:eastAsia="zh-CN"/>
              </w:rPr>
              <w:t>徐德锋</w:t>
            </w:r>
          </w:p>
        </w:tc>
      </w:tr>
    </w:tbl>
    <w:p>
      <w:pPr>
        <w:rPr>
          <w:rFonts w:hint="eastAsia" w:eastAsia="仿宋_GB2312"/>
          <w:bCs/>
          <w:sz w:val="32"/>
          <w:szCs w:val="32"/>
          <w:lang w:val="en-US" w:eastAsia="zh-CN"/>
        </w:rPr>
      </w:pPr>
    </w:p>
    <w:p>
      <w:pPr>
        <w:rPr>
          <w:rFonts w:hint="eastAsia" w:eastAsia="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bCs/>
          <w:sz w:val="28"/>
          <w:szCs w:val="28"/>
          <w:lang w:val="en-US" w:eastAsia="zh-CN"/>
        </w:rPr>
      </w:pPr>
      <w:r>
        <w:rPr>
          <w:rFonts w:hint="eastAsia" w:eastAsia="仿宋_GB2312"/>
          <w:bCs/>
          <w:sz w:val="28"/>
          <w:szCs w:val="28"/>
          <w:lang w:val="en-US" w:eastAsia="zh-CN"/>
        </w:rPr>
        <w:t>项目简介：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bCs/>
          <w:sz w:val="28"/>
          <w:szCs w:val="28"/>
          <w:lang w:val="en-US" w:eastAsia="zh-CN"/>
        </w:rPr>
      </w:pPr>
      <w:r>
        <w:rPr>
          <w:rFonts w:hint="default" w:eastAsia="仿宋_GB2312"/>
          <w:bCs/>
          <w:sz w:val="28"/>
          <w:szCs w:val="28"/>
          <w:lang w:val="en-US" w:eastAsia="zh-CN"/>
        </w:rPr>
        <w:t xml:space="preserve"> </w:t>
      </w:r>
      <w:r>
        <w:rPr>
          <w:rFonts w:hint="eastAsia" w:eastAsia="仿宋_GB2312"/>
          <w:bCs/>
          <w:sz w:val="28"/>
          <w:szCs w:val="28"/>
          <w:lang w:val="en-US" w:eastAsia="zh-CN"/>
        </w:rPr>
        <w:t xml:space="preserve">  </w:t>
      </w:r>
      <w:r>
        <w:rPr>
          <w:rFonts w:hint="default" w:eastAsia="仿宋_GB2312"/>
          <w:bCs/>
          <w:sz w:val="28"/>
          <w:szCs w:val="28"/>
          <w:lang w:val="en-US" w:eastAsia="zh-CN"/>
        </w:rPr>
        <w:t>本研究将传统中药姜黄药用价值与现代化学和生物学技术相结合，开展中药姜黄及其高值衍生物在降解雄激素受体方面的应用研究，取得如下创新成果。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bCs/>
          <w:sz w:val="28"/>
          <w:szCs w:val="28"/>
          <w:lang w:val="en-US" w:eastAsia="zh-CN"/>
        </w:rPr>
      </w:pPr>
      <w:r>
        <w:rPr>
          <w:rFonts w:hint="default" w:eastAsia="仿宋_GB2312"/>
          <w:b/>
          <w:bCs w:val="0"/>
          <w:sz w:val="28"/>
          <w:szCs w:val="28"/>
          <w:lang w:val="en-US" w:eastAsia="zh-CN"/>
        </w:rPr>
        <w:t>【创新成果一】</w:t>
      </w:r>
      <w:r>
        <w:rPr>
          <w:rFonts w:hint="default" w:eastAsia="仿宋_GB2312"/>
          <w:bCs/>
          <w:sz w:val="28"/>
          <w:szCs w:val="28"/>
          <w:lang w:val="en-US" w:eastAsia="zh-CN"/>
        </w:rPr>
        <w:t xml:space="preserve"> 雄激素受体降解化合物的发现：团队首次发现了具有独特化学结构和生物活性的雄激素受体降解化合物——二甲基姜黄素。该化合物已被证明可用于治疗与雄激素受体相关的疾病，如前列腺癌、肝癌和膀胱癌。该发现为相关疾病的治疗研究提供了新的思路和工具，对临床医学和药物研发具有重要意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bCs/>
          <w:sz w:val="28"/>
          <w:szCs w:val="28"/>
          <w:lang w:val="en-US" w:eastAsia="zh-CN"/>
        </w:rPr>
      </w:pPr>
      <w:r>
        <w:rPr>
          <w:rFonts w:hint="default" w:eastAsia="仿宋_GB2312"/>
          <w:b/>
          <w:bCs w:val="0"/>
          <w:sz w:val="28"/>
          <w:szCs w:val="28"/>
          <w:lang w:val="en-US" w:eastAsia="zh-CN"/>
        </w:rPr>
        <w:t>【创新成果二】</w:t>
      </w:r>
      <w:r>
        <w:rPr>
          <w:rFonts w:hint="default" w:eastAsia="仿宋_GB2312"/>
          <w:bCs/>
          <w:sz w:val="28"/>
          <w:szCs w:val="28"/>
          <w:lang w:val="en-US" w:eastAsia="zh-CN"/>
        </w:rPr>
        <w:t xml:space="preserve"> 绿色制备技术的突破：团队在绿色催化制备二甲基姜黄素和绿色工艺制备姜黄素方面取得了重要突破。通过团队的努力，成功发明了环境友好、可持续的绿色催化定向制备二甲基姜黄素和绿色工艺制备姜黄素的技术。这些技术在姜黄素的生产过程中减少了对环境的负面影响，使得姜黄素的制备更加高效、可持续，并为产业化生产提供了可行的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bCs/>
          <w:sz w:val="28"/>
          <w:szCs w:val="28"/>
          <w:lang w:val="en-US" w:eastAsia="zh-CN"/>
        </w:rPr>
      </w:pPr>
      <w:r>
        <w:rPr>
          <w:rFonts w:hint="default" w:eastAsia="仿宋_GB2312"/>
          <w:b/>
          <w:bCs w:val="0"/>
          <w:sz w:val="28"/>
          <w:szCs w:val="28"/>
          <w:lang w:val="en-US" w:eastAsia="zh-CN"/>
        </w:rPr>
        <w:t xml:space="preserve">【创新成果三】 </w:t>
      </w:r>
      <w:r>
        <w:rPr>
          <w:rFonts w:hint="default" w:eastAsia="仿宋_GB2312"/>
          <w:bCs/>
          <w:sz w:val="28"/>
          <w:szCs w:val="28"/>
          <w:lang w:val="en-US" w:eastAsia="zh-CN"/>
        </w:rPr>
        <w:t>姜黄高值化研发和产业化：团队重点关注姜黄的高值化产品开发，成功开发了姜黄肽片、靶向祛痘产品、姜黄固体制剂等高值化产品，并实现了产业化。这些产品满足了人们对天然健康产品的需求，拓展了姜黄的应用范围，为姜黄的商业化应用开辟了新的途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bCs/>
          <w:sz w:val="28"/>
          <w:szCs w:val="28"/>
          <w:lang w:val="en-US" w:eastAsia="zh-CN"/>
        </w:rPr>
      </w:pPr>
      <w:r>
        <w:rPr>
          <w:rFonts w:hint="eastAsia" w:eastAsia="仿宋_GB2312"/>
          <w:b/>
          <w:bCs w:val="0"/>
          <w:sz w:val="28"/>
          <w:szCs w:val="28"/>
          <w:lang w:val="en-US" w:eastAsia="zh-CN"/>
        </w:rPr>
        <w:t xml:space="preserve">   </w:t>
      </w:r>
      <w:r>
        <w:rPr>
          <w:rFonts w:hint="default" w:eastAsia="仿宋_GB2312"/>
          <w:bCs/>
          <w:sz w:val="28"/>
          <w:szCs w:val="28"/>
          <w:lang w:val="en-US" w:eastAsia="zh-CN"/>
        </w:rPr>
        <w:t>通过团队研究和开发，姜黄素及其衍生物已成功应用于前列腺癌、肝癌、膀胱癌等与雄激素受体相关疾病的治疗研究。姜黄肽片、靶向祛痘产品等高值化产品产业化为企业带来了经济效益和市场应用。这些应用和效益进一步证明了该项目技术价值和商业潜力。未来，该团队成果有望在医药行业和健康食品领域发挥重要作用，提升人们健康水平和生活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jMxZWMxYTE5ODMxYjZjNTc4ZGUxYmFjMjFhMjIifQ=="/>
  </w:docVars>
  <w:rsids>
    <w:rsidRoot w:val="5F710E58"/>
    <w:rsid w:val="421F371E"/>
    <w:rsid w:val="440A10EA"/>
    <w:rsid w:val="5F71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1059</Characters>
  <Lines>0</Lines>
  <Paragraphs>0</Paragraphs>
  <TotalTime>13</TotalTime>
  <ScaleCrop>false</ScaleCrop>
  <LinksUpToDate>false</LinksUpToDate>
  <CharactersWithSpaces>1079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2023-06-09T02:46:00Z</dcterms:created>
  <dc:creator>KOALA</dc:creator>
  <cp:lastModifiedBy>徐德锋－健康</cp:lastModifiedBy>
  <dcterms:modified xsi:type="dcterms:W3CDTF">2023-06-09T06:44:52Z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B3CE2DE4EEC24A0EB52A66ACAFFBD2DA_13</vt:lpwstr>
  </property>
</Properties>
</file>